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4"/>
        <w:gridCol w:w="6132"/>
      </w:tblGrid>
      <w:tr w:rsidR="00D078CD" w:rsidRPr="00952BB1" w:rsidTr="008578D3">
        <w:tc>
          <w:tcPr>
            <w:tcW w:w="3224" w:type="dxa"/>
          </w:tcPr>
          <w:p w:rsidR="00D078CD" w:rsidRPr="00952BB1" w:rsidRDefault="00C74D57" w:rsidP="00D078CD">
            <w:pPr>
              <w:jc w:val="center"/>
              <w:rPr>
                <w:b/>
                <w:sz w:val="24"/>
              </w:rPr>
            </w:pPr>
            <w:r w:rsidRPr="00C74D57">
              <w:rPr>
                <w:b/>
                <w:noProof/>
                <w:sz w:val="26"/>
              </w:rPr>
              <w:pict>
                <v:line id="Straight Connector 1" o:spid="_x0000_s1026" style="position:absolute;left:0;text-align:left;z-index:251659264;visibility:visible" from="41.9pt,24.4pt" to="101.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" strokecolor="black [3040]"/>
              </w:pict>
            </w:r>
            <w:r w:rsidR="00D078CD" w:rsidRPr="00952BB1">
              <w:rPr>
                <w:b/>
                <w:sz w:val="26"/>
              </w:rPr>
              <w:t>BỘ TÀI CHÍNH</w:t>
            </w:r>
          </w:p>
        </w:tc>
        <w:tc>
          <w:tcPr>
            <w:tcW w:w="6132" w:type="dxa"/>
          </w:tcPr>
          <w:p w:rsidR="00D078CD" w:rsidRPr="00952BB1" w:rsidRDefault="00D078CD" w:rsidP="00D078CD">
            <w:pPr>
              <w:jc w:val="center"/>
              <w:rPr>
                <w:b/>
                <w:sz w:val="26"/>
              </w:rPr>
            </w:pPr>
            <w:r w:rsidRPr="00952BB1">
              <w:rPr>
                <w:b/>
                <w:sz w:val="26"/>
              </w:rPr>
              <w:t>CỘNG HÒA XÃ HỘI CHỦ NGHĨA VIỆT NAM</w:t>
            </w:r>
          </w:p>
          <w:p w:rsidR="00D078CD" w:rsidRPr="00952BB1" w:rsidRDefault="00D078CD" w:rsidP="00D078CD">
            <w:pPr>
              <w:jc w:val="center"/>
              <w:rPr>
                <w:b/>
              </w:rPr>
            </w:pPr>
            <w:r w:rsidRPr="00952BB1">
              <w:rPr>
                <w:b/>
              </w:rPr>
              <w:t>Độc lập - Tự do - Hạnh phúc</w:t>
            </w:r>
          </w:p>
          <w:p w:rsidR="00D078CD" w:rsidRPr="00952BB1" w:rsidRDefault="00C74D57" w:rsidP="00D078CD">
            <w:pPr>
              <w:jc w:val="center"/>
              <w:rPr>
                <w:b/>
                <w:sz w:val="24"/>
              </w:rPr>
            </w:pPr>
            <w:r>
              <w:rPr>
                <w:b/>
                <w:noProof/>
                <w:sz w:val="24"/>
              </w:rPr>
              <w:pict>
                <v:line id="Straight Connector 2" o:spid="_x0000_s1027" style="position:absolute;left:0;text-align:left;flip:y;z-index:251660288;visibility:visible;mso-width-relative:margin;mso-height-relative:margin" from="62.55pt,1.5pt" to="2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" strokecolor="black [3040]"/>
              </w:pict>
            </w:r>
          </w:p>
        </w:tc>
      </w:tr>
      <w:tr w:rsidR="00D078CD" w:rsidRPr="00952BB1" w:rsidTr="008578D3">
        <w:tc>
          <w:tcPr>
            <w:tcW w:w="3224" w:type="dxa"/>
          </w:tcPr>
          <w:p w:rsidR="00D078CD" w:rsidRPr="00952BB1" w:rsidRDefault="00D078CD" w:rsidP="00E15011">
            <w:pPr>
              <w:jc w:val="center"/>
              <w:rPr>
                <w:b/>
                <w:sz w:val="24"/>
              </w:rPr>
            </w:pPr>
            <w:r w:rsidRPr="00952BB1">
              <w:rPr>
                <w:sz w:val="26"/>
              </w:rPr>
              <w:t>Số</w:t>
            </w:r>
            <w:r w:rsidR="00E15011" w:rsidRPr="00952BB1">
              <w:rPr>
                <w:sz w:val="26"/>
              </w:rPr>
              <w:t xml:space="preserve">: </w:t>
            </w:r>
            <w:r w:rsidR="00E15011">
              <w:rPr>
                <w:sz w:val="26"/>
              </w:rPr>
              <w:t>12</w:t>
            </w:r>
            <w:r w:rsidRPr="00952BB1">
              <w:rPr>
                <w:sz w:val="26"/>
              </w:rPr>
              <w:t>/</w:t>
            </w:r>
            <w:r w:rsidR="00C23D82" w:rsidRPr="00952BB1">
              <w:rPr>
                <w:sz w:val="26"/>
              </w:rPr>
              <w:t>201</w:t>
            </w:r>
            <w:r w:rsidR="00FC0E82" w:rsidRPr="00952BB1">
              <w:rPr>
                <w:sz w:val="26"/>
              </w:rPr>
              <w:t>9</w:t>
            </w:r>
            <w:r w:rsidRPr="00952BB1">
              <w:rPr>
                <w:sz w:val="26"/>
              </w:rPr>
              <w:t>/TT-BTC</w:t>
            </w:r>
          </w:p>
        </w:tc>
        <w:tc>
          <w:tcPr>
            <w:tcW w:w="6132" w:type="dxa"/>
          </w:tcPr>
          <w:p w:rsidR="00D078CD" w:rsidRPr="00952BB1" w:rsidRDefault="00D078CD">
            <w:pPr>
              <w:jc w:val="center"/>
              <w:rPr>
                <w:b/>
                <w:sz w:val="24"/>
              </w:rPr>
            </w:pPr>
            <w:r w:rsidRPr="00952BB1">
              <w:rPr>
                <w:i/>
              </w:rPr>
              <w:t xml:space="preserve">Hà Nội, </w:t>
            </w:r>
            <w:r w:rsidR="00E15011" w:rsidRPr="00952BB1">
              <w:rPr>
                <w:i/>
              </w:rPr>
              <w:t xml:space="preserve">ngày </w:t>
            </w:r>
            <w:r w:rsidR="00E15011">
              <w:rPr>
                <w:i/>
              </w:rPr>
              <w:t>13</w:t>
            </w:r>
            <w:r w:rsidRPr="00952BB1">
              <w:rPr>
                <w:i/>
              </w:rPr>
              <w:t xml:space="preserve">tháng </w:t>
            </w:r>
            <w:r w:rsidR="00E15011">
              <w:rPr>
                <w:i/>
              </w:rPr>
              <w:t>3</w:t>
            </w:r>
            <w:r w:rsidRPr="00952BB1">
              <w:rPr>
                <w:i/>
              </w:rPr>
              <w:t xml:space="preserve">năm </w:t>
            </w:r>
            <w:r w:rsidR="00C23D82" w:rsidRPr="00952BB1">
              <w:rPr>
                <w:i/>
              </w:rPr>
              <w:t>201</w:t>
            </w:r>
            <w:r w:rsidR="00FC0E82" w:rsidRPr="00952BB1">
              <w:rPr>
                <w:i/>
              </w:rPr>
              <w:t>9</w:t>
            </w:r>
          </w:p>
        </w:tc>
      </w:tr>
    </w:tbl>
    <w:p w:rsidR="00370CD9" w:rsidRPr="00952BB1" w:rsidRDefault="00370CD9" w:rsidP="003B5713">
      <w:pPr>
        <w:spacing w:before="600"/>
        <w:rPr>
          <w:b/>
        </w:rPr>
      </w:pPr>
      <w:r w:rsidRPr="00952BB1">
        <w:tab/>
      </w:r>
      <w:r w:rsidRPr="00952BB1">
        <w:tab/>
      </w:r>
      <w:r w:rsidRPr="00952BB1">
        <w:tab/>
      </w:r>
      <w:r w:rsidRPr="00952BB1">
        <w:tab/>
      </w:r>
      <w:r w:rsidRPr="00952BB1">
        <w:rPr>
          <w:b/>
        </w:rPr>
        <w:t>THÔNG TƯ</w:t>
      </w:r>
    </w:p>
    <w:p w:rsidR="00B540A0" w:rsidRPr="00952BB1" w:rsidRDefault="002D3F27" w:rsidP="009C1BD4">
      <w:pPr>
        <w:spacing w:before="0" w:after="0"/>
        <w:jc w:val="center"/>
        <w:rPr>
          <w:b/>
        </w:rPr>
      </w:pPr>
      <w:r w:rsidRPr="00952BB1">
        <w:rPr>
          <w:b/>
        </w:rPr>
        <w:t xml:space="preserve">Quy định chi phí sử dụng ngân quỹ nhà nước </w:t>
      </w:r>
    </w:p>
    <w:p w:rsidR="00370CD9" w:rsidRPr="00952BB1" w:rsidRDefault="00095D00" w:rsidP="009C1BD4">
      <w:pPr>
        <w:spacing w:before="0" w:after="0"/>
        <w:jc w:val="center"/>
      </w:pPr>
      <w:r w:rsidRPr="00952BB1">
        <w:rPr>
          <w:b/>
        </w:rPr>
        <w:t>của</w:t>
      </w:r>
      <w:r w:rsidR="002D3F27" w:rsidRPr="00952BB1">
        <w:rPr>
          <w:b/>
        </w:rPr>
        <w:t xml:space="preserve"> ngân sách nhà nước </w:t>
      </w:r>
    </w:p>
    <w:p w:rsidR="00FC0E82" w:rsidRPr="00952BB1" w:rsidRDefault="00FC0E82" w:rsidP="00937728">
      <w:pPr>
        <w:spacing w:before="240"/>
        <w:ind w:firstLine="720"/>
        <w:jc w:val="both"/>
        <w:rPr>
          <w:i/>
          <w:iCs/>
        </w:rPr>
      </w:pPr>
      <w:r w:rsidRPr="00952BB1">
        <w:rPr>
          <w:i/>
          <w:iCs/>
        </w:rPr>
        <w:t xml:space="preserve">Căn cứ Luật </w:t>
      </w:r>
      <w:bookmarkStart w:id="0" w:name="_GoBack"/>
      <w:bookmarkEnd w:id="0"/>
      <w:r w:rsidRPr="00952BB1">
        <w:rPr>
          <w:i/>
          <w:iCs/>
        </w:rPr>
        <w:t>ngân sách nhà nước ngày 25 tháng 6 năm 2015;</w:t>
      </w:r>
    </w:p>
    <w:p w:rsidR="00FC0E82" w:rsidRPr="00952BB1" w:rsidRDefault="00FC0E82" w:rsidP="00FC0E82">
      <w:pPr>
        <w:ind w:firstLine="720"/>
        <w:jc w:val="both"/>
        <w:rPr>
          <w:i/>
        </w:rPr>
      </w:pPr>
      <w:r w:rsidRPr="00952BB1">
        <w:rPr>
          <w:i/>
          <w:color w:val="000000"/>
        </w:rPr>
        <w:t>Căn cứ Luật quản lý nợ công ngày 23 tháng 11 năm 2017</w:t>
      </w:r>
      <w:r w:rsidRPr="00952BB1">
        <w:rPr>
          <w:i/>
        </w:rPr>
        <w:t>;</w:t>
      </w:r>
      <w:r w:rsidRPr="00952BB1">
        <w:rPr>
          <w:i/>
          <w:iCs/>
        </w:rPr>
        <w:t>Căn cứ Nghị định số 24/2016/NĐ-CP ngày 05 tháng 4 năm 2016 của Chính phủ quy định chế độ quản lý ngân quỹ nhà nước;</w:t>
      </w:r>
    </w:p>
    <w:p w:rsidR="00FC0E82" w:rsidRPr="00952BB1" w:rsidRDefault="00FC0E82" w:rsidP="00FC0E82">
      <w:pPr>
        <w:ind w:firstLine="720"/>
        <w:jc w:val="both"/>
        <w:rPr>
          <w:i/>
          <w:iCs/>
        </w:rPr>
      </w:pPr>
      <w:r w:rsidRPr="00952BB1">
        <w:rPr>
          <w:i/>
          <w:iCs/>
        </w:rPr>
        <w:t>Căn cứ Nghị định số 163/2016/NĐ-CP ngày 21 tháng 12 năm 2016 của Chính phủ quy định chi tiết thi hành một số điều của Luật ngân sách nhà nước;</w:t>
      </w:r>
    </w:p>
    <w:p w:rsidR="00FC0E82" w:rsidRPr="00952BB1" w:rsidRDefault="00FC0E82" w:rsidP="00FC0E82">
      <w:pPr>
        <w:ind w:firstLine="720"/>
        <w:jc w:val="both"/>
        <w:rPr>
          <w:i/>
          <w:color w:val="000000"/>
        </w:rPr>
      </w:pPr>
      <w:r w:rsidRPr="00952BB1">
        <w:rPr>
          <w:i/>
          <w:color w:val="000000"/>
        </w:rPr>
        <w:t>Căn cứ Nghị định số 93/2018/NĐ-CP ngày 30 tháng 6 năm 2018 của Chính phủ quy định về quản lý nợ của chính quyền địa phương;</w:t>
      </w:r>
    </w:p>
    <w:p w:rsidR="00FC0E82" w:rsidRPr="00952BB1" w:rsidRDefault="002757F5" w:rsidP="00FC0E82">
      <w:pPr>
        <w:ind w:firstLine="720"/>
        <w:jc w:val="both"/>
        <w:rPr>
          <w:bCs/>
          <w:i/>
          <w:lang w:val="nl-NL"/>
        </w:rPr>
      </w:pPr>
      <w:r w:rsidRPr="00952BB1">
        <w:rPr>
          <w:bCs/>
          <w:i/>
          <w:lang w:val="nl-NL"/>
        </w:rPr>
        <w:t xml:space="preserve">Căn cứ </w:t>
      </w:r>
      <w:r w:rsidR="00FC0E82" w:rsidRPr="00952BB1">
        <w:rPr>
          <w:bCs/>
          <w:i/>
          <w:lang w:val="nl-NL"/>
        </w:rPr>
        <w:t>Nghị định số 94/2018/NĐ-CP ngày 30 tháng 6 năm 2018 của Chính phủ về nghiệp vụ quản lý nợ công;</w:t>
      </w:r>
    </w:p>
    <w:p w:rsidR="000E78D4" w:rsidRPr="00952BB1" w:rsidRDefault="000E78D4">
      <w:pPr>
        <w:ind w:firstLine="720"/>
        <w:jc w:val="both"/>
        <w:rPr>
          <w:i/>
          <w:lang w:val="nl-NL"/>
        </w:rPr>
      </w:pPr>
      <w:r w:rsidRPr="00952BB1">
        <w:rPr>
          <w:rFonts w:eastAsia="SimSun"/>
          <w:i/>
          <w:color w:val="000000"/>
          <w:lang w:val="nl-NL"/>
        </w:rPr>
        <w:t>Căn cứ Nghị định số 87/2017/NĐ-CP ngày 26 tháng 7 năm 2017 của Chính phủ quy định chức năng, nhiệm vụ, quyền hạn và cơ cấu tổ chức của Bộ Tài chính;</w:t>
      </w:r>
    </w:p>
    <w:p w:rsidR="00FC0E82" w:rsidRPr="00952BB1" w:rsidRDefault="00FC0E82" w:rsidP="00FC0E82">
      <w:pPr>
        <w:ind w:firstLine="720"/>
        <w:jc w:val="both"/>
        <w:rPr>
          <w:i/>
          <w:lang w:val="nl-NL"/>
        </w:rPr>
      </w:pPr>
      <w:r w:rsidRPr="00952BB1">
        <w:rPr>
          <w:i/>
          <w:iCs/>
          <w:lang w:val="nl-NL"/>
        </w:rPr>
        <w:t>Theo đề nghị của Tổng Giám đốc Kho bạc Nhà nướ</w:t>
      </w:r>
      <w:r w:rsidR="00A806DB" w:rsidRPr="00952BB1">
        <w:rPr>
          <w:i/>
          <w:iCs/>
          <w:lang w:val="nl-NL"/>
        </w:rPr>
        <w:t>c;</w:t>
      </w:r>
    </w:p>
    <w:p w:rsidR="00FC0E82" w:rsidRPr="00952BB1" w:rsidRDefault="00FC0E82" w:rsidP="00FC0E82">
      <w:pPr>
        <w:ind w:firstLine="720"/>
        <w:jc w:val="both"/>
        <w:rPr>
          <w:i/>
          <w:lang w:val="nl-NL"/>
        </w:rPr>
      </w:pPr>
      <w:r w:rsidRPr="00952BB1">
        <w:rPr>
          <w:i/>
          <w:iCs/>
          <w:lang w:val="nl-NL"/>
        </w:rPr>
        <w:t xml:space="preserve">Bộ trưởng Bộ Tài chính ban hành Thông tư quy định </w:t>
      </w:r>
      <w:r w:rsidR="00095D00" w:rsidRPr="00952BB1">
        <w:rPr>
          <w:i/>
          <w:iCs/>
          <w:lang w:val="nl-NL"/>
        </w:rPr>
        <w:t xml:space="preserve">chi phí sử dụng </w:t>
      </w:r>
      <w:r w:rsidRPr="00952BB1">
        <w:rPr>
          <w:i/>
          <w:iCs/>
          <w:lang w:val="nl-NL"/>
        </w:rPr>
        <w:t>ngân quỹ nhà nướ</w:t>
      </w:r>
      <w:r w:rsidR="00095D00" w:rsidRPr="00952BB1">
        <w:rPr>
          <w:i/>
          <w:iCs/>
          <w:lang w:val="nl-NL"/>
        </w:rPr>
        <w:t>c của ngân sách nhà nước</w:t>
      </w:r>
      <w:r w:rsidR="005C1613" w:rsidRPr="00952BB1">
        <w:rPr>
          <w:i/>
          <w:iCs/>
          <w:lang w:val="nl-NL"/>
        </w:rPr>
        <w:t>.</w:t>
      </w:r>
    </w:p>
    <w:p w:rsidR="002D3F27" w:rsidRPr="00952BB1" w:rsidRDefault="002D3F27" w:rsidP="00937728">
      <w:pPr>
        <w:spacing w:before="360"/>
        <w:ind w:firstLine="720"/>
        <w:jc w:val="both"/>
        <w:rPr>
          <w:lang w:val="nl-NL"/>
        </w:rPr>
      </w:pPr>
      <w:bookmarkStart w:id="1" w:name="dieu_1"/>
      <w:r w:rsidRPr="00952BB1">
        <w:rPr>
          <w:b/>
          <w:bCs/>
          <w:color w:val="000000"/>
          <w:lang w:val="nl-NL"/>
        </w:rPr>
        <w:t>Điều 1. Phạm vi điều chỉnh</w:t>
      </w:r>
      <w:bookmarkEnd w:id="1"/>
    </w:p>
    <w:p w:rsidR="002D3F27" w:rsidRPr="00952BB1" w:rsidRDefault="002D3F27" w:rsidP="002D3F27">
      <w:pPr>
        <w:ind w:firstLine="720"/>
        <w:jc w:val="both"/>
        <w:rPr>
          <w:color w:val="000000"/>
          <w:lang w:val="nl-NL"/>
        </w:rPr>
      </w:pPr>
      <w:r w:rsidRPr="00952BB1">
        <w:rPr>
          <w:color w:val="000000"/>
          <w:lang w:val="nl-NL"/>
        </w:rPr>
        <w:t xml:space="preserve">Thông tư này quy định chi phí sử dụng ngân quỹ nhà nước </w:t>
      </w:r>
      <w:r w:rsidR="00CA676F" w:rsidRPr="00952BB1">
        <w:rPr>
          <w:color w:val="000000"/>
          <w:lang w:val="nl-NL"/>
        </w:rPr>
        <w:t xml:space="preserve">khi </w:t>
      </w:r>
      <w:r w:rsidRPr="00952BB1">
        <w:rPr>
          <w:color w:val="000000"/>
          <w:lang w:val="nl-NL"/>
        </w:rPr>
        <w:t xml:space="preserve">ngân sách trung ương và ngân sách </w:t>
      </w:r>
      <w:r w:rsidR="001E42AF" w:rsidRPr="00952BB1">
        <w:rPr>
          <w:color w:val="000000"/>
          <w:lang w:val="nl-NL"/>
        </w:rPr>
        <w:t>cấp tỉnh</w:t>
      </w:r>
      <w:r w:rsidR="009300A7" w:rsidRPr="00952BB1">
        <w:rPr>
          <w:color w:val="000000"/>
          <w:lang w:val="nl-NL"/>
        </w:rPr>
        <w:t>tạm ứng, vay</w:t>
      </w:r>
      <w:r w:rsidR="00181646" w:rsidRPr="00952BB1">
        <w:rPr>
          <w:color w:val="000000"/>
          <w:lang w:val="nl-NL"/>
        </w:rPr>
        <w:t>ngân quỹ nhà nước</w:t>
      </w:r>
      <w:r w:rsidRPr="00952BB1">
        <w:rPr>
          <w:color w:val="000000"/>
          <w:lang w:val="nl-NL"/>
        </w:rPr>
        <w:t>.</w:t>
      </w:r>
    </w:p>
    <w:p w:rsidR="002D3F27" w:rsidRPr="00952BB1" w:rsidRDefault="002D3F27" w:rsidP="002D3F27">
      <w:pPr>
        <w:ind w:firstLine="720"/>
        <w:jc w:val="both"/>
        <w:rPr>
          <w:lang w:val="nl-NL"/>
        </w:rPr>
      </w:pPr>
      <w:bookmarkStart w:id="2" w:name="dieu_2"/>
      <w:r w:rsidRPr="00952BB1">
        <w:rPr>
          <w:b/>
          <w:bCs/>
          <w:color w:val="000000"/>
          <w:lang w:val="nl-NL"/>
        </w:rPr>
        <w:t>Điều 2. Đối tượng áp dụng</w:t>
      </w:r>
      <w:bookmarkEnd w:id="2"/>
    </w:p>
    <w:p w:rsidR="002D3F27" w:rsidRPr="00952BB1" w:rsidRDefault="002D3F27" w:rsidP="002D3F27">
      <w:pPr>
        <w:ind w:firstLine="720"/>
        <w:jc w:val="both"/>
        <w:rPr>
          <w:lang w:val="nl-NL"/>
        </w:rPr>
      </w:pPr>
      <w:r w:rsidRPr="00952BB1">
        <w:rPr>
          <w:color w:val="000000"/>
          <w:lang w:val="nl-NL"/>
        </w:rPr>
        <w:t>1. Bộ Tài chính</w:t>
      </w:r>
      <w:r w:rsidR="000E78D4" w:rsidRPr="00952BB1">
        <w:rPr>
          <w:color w:val="000000"/>
          <w:lang w:val="nl-NL"/>
        </w:rPr>
        <w:t>.</w:t>
      </w:r>
    </w:p>
    <w:p w:rsidR="002D3F27" w:rsidRPr="00952BB1" w:rsidRDefault="002D3F27" w:rsidP="002D3F27">
      <w:pPr>
        <w:ind w:firstLine="720"/>
        <w:jc w:val="both"/>
        <w:rPr>
          <w:lang w:val="nl-NL"/>
        </w:rPr>
      </w:pPr>
      <w:r w:rsidRPr="00952BB1">
        <w:rPr>
          <w:color w:val="000000"/>
          <w:lang w:val="nl-NL"/>
        </w:rPr>
        <w:t>2. Ủy ban nhân dân các tỉnh, thành phố trực thuộ</w:t>
      </w:r>
      <w:r w:rsidR="00A13077" w:rsidRPr="00952BB1">
        <w:rPr>
          <w:color w:val="000000"/>
          <w:lang w:val="nl-NL"/>
        </w:rPr>
        <w:t>c trung ương</w:t>
      </w:r>
      <w:r w:rsidR="000E78D4" w:rsidRPr="00952BB1">
        <w:rPr>
          <w:color w:val="000000"/>
          <w:lang w:val="nl-NL"/>
        </w:rPr>
        <w:t>.</w:t>
      </w:r>
    </w:p>
    <w:p w:rsidR="002D3F27" w:rsidRPr="00952BB1" w:rsidRDefault="002D3F27" w:rsidP="002D3F27">
      <w:pPr>
        <w:ind w:firstLine="720"/>
        <w:jc w:val="both"/>
        <w:rPr>
          <w:color w:val="000000"/>
          <w:lang w:val="nl-NL"/>
        </w:rPr>
      </w:pPr>
      <w:r w:rsidRPr="00952BB1">
        <w:rPr>
          <w:color w:val="000000"/>
          <w:lang w:val="nl-NL"/>
        </w:rPr>
        <w:t>3. Kho bạc Nhà nước; Kho bạc Nhà nước các tỉnh, thành phố trực thuộ</w:t>
      </w:r>
      <w:r w:rsidR="001E42AF" w:rsidRPr="00952BB1">
        <w:rPr>
          <w:color w:val="000000"/>
          <w:lang w:val="nl-NL"/>
        </w:rPr>
        <w:t>c trung ương</w:t>
      </w:r>
      <w:r w:rsidR="000E78D4" w:rsidRPr="00952BB1">
        <w:rPr>
          <w:color w:val="000000"/>
          <w:lang w:val="nl-NL"/>
        </w:rPr>
        <w:t>.</w:t>
      </w:r>
    </w:p>
    <w:p w:rsidR="002D3F27" w:rsidRPr="00952BB1" w:rsidRDefault="002D3F27" w:rsidP="002D3F27">
      <w:pPr>
        <w:ind w:firstLine="720"/>
        <w:jc w:val="both"/>
        <w:rPr>
          <w:lang w:val="nl-NL"/>
        </w:rPr>
      </w:pPr>
      <w:r w:rsidRPr="00952BB1">
        <w:rPr>
          <w:color w:val="000000"/>
          <w:lang w:val="nl-NL"/>
        </w:rPr>
        <w:t>4. Sở Tài chính các tỉnh, thành phố trực thuộ</w:t>
      </w:r>
      <w:r w:rsidR="001E42AF" w:rsidRPr="00952BB1">
        <w:rPr>
          <w:color w:val="000000"/>
          <w:lang w:val="nl-NL"/>
        </w:rPr>
        <w:t>c trung ương</w:t>
      </w:r>
      <w:r w:rsidR="000E78D4" w:rsidRPr="00952BB1">
        <w:rPr>
          <w:color w:val="000000"/>
          <w:lang w:val="nl-NL"/>
        </w:rPr>
        <w:t>.</w:t>
      </w:r>
    </w:p>
    <w:p w:rsidR="002D3F27" w:rsidRPr="00952BB1" w:rsidRDefault="002D3F27" w:rsidP="002D3F27">
      <w:pPr>
        <w:ind w:firstLine="720"/>
        <w:jc w:val="both"/>
        <w:rPr>
          <w:lang w:val="nl-NL"/>
        </w:rPr>
      </w:pPr>
      <w:r w:rsidRPr="00952BB1">
        <w:rPr>
          <w:color w:val="000000"/>
          <w:lang w:val="nl-NL"/>
        </w:rPr>
        <w:t xml:space="preserve">5. Các tổ chức, cá nhân liên quan đến </w:t>
      </w:r>
      <w:r w:rsidR="000A2022" w:rsidRPr="00952BB1">
        <w:rPr>
          <w:color w:val="000000"/>
          <w:lang w:val="nl-NL"/>
        </w:rPr>
        <w:t>hoạt động</w:t>
      </w:r>
      <w:r w:rsidR="009300A7" w:rsidRPr="00952BB1">
        <w:rPr>
          <w:color w:val="000000"/>
          <w:lang w:val="nl-NL"/>
        </w:rPr>
        <w:t xml:space="preserve">tạm ứng, vay </w:t>
      </w:r>
      <w:r w:rsidRPr="00952BB1">
        <w:rPr>
          <w:color w:val="000000"/>
          <w:lang w:val="nl-NL"/>
        </w:rPr>
        <w:t>ngân quỹ nhà nước.</w:t>
      </w:r>
    </w:p>
    <w:p w:rsidR="00D37E9B" w:rsidRPr="00952BB1" w:rsidRDefault="007B2E30" w:rsidP="00B74171">
      <w:pPr>
        <w:spacing w:before="0" w:after="0"/>
        <w:ind w:firstLine="720"/>
        <w:jc w:val="both"/>
        <w:rPr>
          <w:lang w:val="nl-NL"/>
        </w:rPr>
      </w:pPr>
      <w:r w:rsidRPr="00952BB1">
        <w:rPr>
          <w:b/>
          <w:lang w:val="nl-NL"/>
        </w:rPr>
        <w:lastRenderedPageBreak/>
        <w:t xml:space="preserve">Điều 3. </w:t>
      </w:r>
      <w:r w:rsidR="009522E2" w:rsidRPr="00952BB1">
        <w:rPr>
          <w:b/>
          <w:lang w:val="nl-NL"/>
        </w:rPr>
        <w:t>C</w:t>
      </w:r>
      <w:r w:rsidRPr="00952BB1">
        <w:rPr>
          <w:b/>
          <w:lang w:val="nl-NL"/>
        </w:rPr>
        <w:t>hi phí sử dụng ngân quỹ nhà nước và chi phí sử dụng ngân quỹ nhà nước quá hạn</w:t>
      </w:r>
    </w:p>
    <w:p w:rsidR="00433E07" w:rsidRPr="00952BB1" w:rsidRDefault="00433E07" w:rsidP="00433E07">
      <w:pPr>
        <w:ind w:firstLine="720"/>
        <w:jc w:val="both"/>
        <w:rPr>
          <w:color w:val="000000"/>
          <w:lang w:val="nl-NL"/>
        </w:rPr>
      </w:pPr>
      <w:r w:rsidRPr="00952BB1">
        <w:rPr>
          <w:color w:val="000000"/>
          <w:lang w:val="nl-NL"/>
        </w:rPr>
        <w:t>1. Chi phí sử dụng ngân quỹ nhà nước</w:t>
      </w:r>
    </w:p>
    <w:p w:rsidR="00433E07" w:rsidRPr="00952BB1" w:rsidRDefault="00433E07" w:rsidP="00433E07">
      <w:pPr>
        <w:ind w:firstLine="720"/>
        <w:jc w:val="both"/>
        <w:rPr>
          <w:color w:val="000000"/>
          <w:lang w:val="nl-NL"/>
        </w:rPr>
      </w:pPr>
      <w:r w:rsidRPr="00952BB1">
        <w:rPr>
          <w:color w:val="000000"/>
          <w:lang w:val="nl-NL"/>
        </w:rPr>
        <w:t xml:space="preserve">Ngân sách trung ương và ngân sách cấp tỉnh khi </w:t>
      </w:r>
      <w:r w:rsidR="009300A7" w:rsidRPr="00952BB1">
        <w:rPr>
          <w:color w:val="000000"/>
          <w:lang w:val="nl-NL"/>
        </w:rPr>
        <w:t xml:space="preserve">tạm ứng, vay </w:t>
      </w:r>
      <w:r w:rsidRPr="00952BB1">
        <w:rPr>
          <w:color w:val="000000"/>
          <w:lang w:val="nl-NL"/>
        </w:rPr>
        <w:t>ngân quỹ nhà nước có trách nhiệm thanh toán khoản chi phí sử dụng ngân quỹ nhà nước cho Kho bạc Nhà nước định kỳ hàng tháng với mứ</w:t>
      </w:r>
      <w:r w:rsidR="00A806DB" w:rsidRPr="00952BB1">
        <w:rPr>
          <w:color w:val="000000"/>
          <w:lang w:val="nl-NL"/>
        </w:rPr>
        <w:t xml:space="preserve">c là </w:t>
      </w:r>
      <w:r w:rsidRPr="00952BB1">
        <w:rPr>
          <w:color w:val="000000"/>
          <w:lang w:val="nl-NL"/>
        </w:rPr>
        <w:t>0,10%/tháng (trên cơ sở một tháng có 30 ngày) chậm nhất vào ngày 10 của tháng liền kề sau tháng phải thanh toán và được xác định như sau:</w:t>
      </w:r>
    </w:p>
    <w:tbl>
      <w:tblPr>
        <w:tblW w:w="9215" w:type="dxa"/>
        <w:jc w:val="center"/>
        <w:tblLayout w:type="fixed"/>
        <w:tblLook w:val="04A0"/>
      </w:tblPr>
      <w:tblGrid>
        <w:gridCol w:w="2410"/>
        <w:gridCol w:w="425"/>
        <w:gridCol w:w="1701"/>
        <w:gridCol w:w="425"/>
        <w:gridCol w:w="993"/>
        <w:gridCol w:w="426"/>
        <w:gridCol w:w="2835"/>
      </w:tblGrid>
      <w:tr w:rsidR="008C7B53" w:rsidRPr="00952BB1" w:rsidTr="00C35FA8">
        <w:trPr>
          <w:jc w:val="center"/>
        </w:trPr>
        <w:tc>
          <w:tcPr>
            <w:tcW w:w="2410" w:type="dxa"/>
            <w:shd w:val="clear" w:color="auto" w:fill="auto"/>
            <w:vAlign w:val="center"/>
          </w:tcPr>
          <w:p w:rsidR="008C7B53" w:rsidRPr="00D11AA6" w:rsidRDefault="008C7B53" w:rsidP="00610F57">
            <w:pPr>
              <w:jc w:val="center"/>
              <w:rPr>
                <w:rFonts w:asciiTheme="majorHAnsi" w:eastAsia="Arial" w:hAnsiTheme="majorHAnsi"/>
                <w:color w:val="000000"/>
                <w:lang w:val="nl-NL"/>
              </w:rPr>
            </w:pPr>
            <w:r w:rsidRPr="00D11AA6">
              <w:rPr>
                <w:rFonts w:asciiTheme="majorHAnsi" w:eastAsia="Arial" w:hAnsiTheme="majorHAnsi"/>
                <w:color w:val="000000"/>
                <w:lang w:val="nl-NL"/>
              </w:rPr>
              <w:t xml:space="preserve">Chi phí sử dụng ngân quỹ nhà nước </w:t>
            </w:r>
          </w:p>
        </w:tc>
        <w:tc>
          <w:tcPr>
            <w:tcW w:w="425" w:type="dxa"/>
            <w:shd w:val="clear" w:color="auto" w:fill="auto"/>
            <w:vAlign w:val="center"/>
          </w:tcPr>
          <w:p w:rsidR="008C7B53" w:rsidRPr="00D11AA6" w:rsidRDefault="008C7B53" w:rsidP="00610F57">
            <w:pPr>
              <w:jc w:val="center"/>
              <w:rPr>
                <w:rFonts w:asciiTheme="majorHAnsi" w:eastAsia="Arial" w:hAnsiTheme="majorHAnsi"/>
                <w:color w:val="000000"/>
              </w:rPr>
            </w:pPr>
            <w:r w:rsidRPr="00D11AA6">
              <w:rPr>
                <w:rFonts w:asciiTheme="majorHAnsi" w:eastAsia="Arial" w:hAnsiTheme="majorHAnsi"/>
                <w:color w:val="000000"/>
              </w:rPr>
              <w:t>=</w:t>
            </w:r>
          </w:p>
        </w:tc>
        <w:tc>
          <w:tcPr>
            <w:tcW w:w="1701" w:type="dxa"/>
            <w:shd w:val="clear" w:color="auto" w:fill="auto"/>
            <w:vAlign w:val="center"/>
          </w:tcPr>
          <w:p w:rsidR="008C7B53" w:rsidRPr="00D11AA6" w:rsidRDefault="008C7B53" w:rsidP="00610F57">
            <w:pPr>
              <w:jc w:val="center"/>
              <w:rPr>
                <w:rFonts w:asciiTheme="majorHAnsi" w:eastAsia="Arial" w:hAnsiTheme="majorHAnsi"/>
                <w:color w:val="000000"/>
              </w:rPr>
            </w:pPr>
            <w:r w:rsidRPr="00D11AA6">
              <w:rPr>
                <w:rFonts w:asciiTheme="majorHAnsi" w:eastAsia="Arial" w:hAnsiTheme="majorHAnsi"/>
                <w:color w:val="000000"/>
              </w:rPr>
              <w:t xml:space="preserve">Số dư nợ </w:t>
            </w:r>
            <w:r w:rsidR="009300A7" w:rsidRPr="00D11AA6">
              <w:rPr>
                <w:color w:val="000000"/>
              </w:rPr>
              <w:t>tạm ứng, vay</w:t>
            </w:r>
          </w:p>
        </w:tc>
        <w:tc>
          <w:tcPr>
            <w:tcW w:w="425" w:type="dxa"/>
            <w:shd w:val="clear" w:color="auto" w:fill="auto"/>
            <w:vAlign w:val="center"/>
          </w:tcPr>
          <w:p w:rsidR="008C7B53" w:rsidRPr="00D11AA6" w:rsidRDefault="008C7B53" w:rsidP="00610F57">
            <w:pPr>
              <w:jc w:val="center"/>
              <w:rPr>
                <w:rFonts w:asciiTheme="majorHAnsi" w:eastAsia="Arial" w:hAnsiTheme="majorHAnsi"/>
                <w:color w:val="000000"/>
              </w:rPr>
            </w:pPr>
            <w:r w:rsidRPr="00D11AA6">
              <w:rPr>
                <w:rFonts w:asciiTheme="majorHAnsi" w:eastAsia="Arial" w:hAnsiTheme="majorHAnsi"/>
                <w:color w:val="000000"/>
              </w:rPr>
              <w:t>×</w:t>
            </w:r>
          </w:p>
        </w:tc>
        <w:tc>
          <w:tcPr>
            <w:tcW w:w="993" w:type="dxa"/>
            <w:shd w:val="clear" w:color="auto" w:fill="auto"/>
            <w:vAlign w:val="center"/>
          </w:tcPr>
          <w:p w:rsidR="008C7B53" w:rsidRPr="000A315B" w:rsidRDefault="00C74D57" w:rsidP="000A315B">
            <w:pPr>
              <w:jc w:val="center"/>
              <w:rPr>
                <w:rFonts w:asciiTheme="majorHAnsi" w:eastAsia="Arial" w:hAnsiTheme="majorHAnsi"/>
                <w:color w:val="000000"/>
              </w:rPr>
            </w:pPr>
            <m:oMathPara>
              <m:oMath>
                <m:f>
                  <m:fPr>
                    <m:ctrlPr>
                      <w:rPr>
                        <w:rFonts w:ascii="Cambria Math" w:hAnsi="Cambria Math"/>
                      </w:rPr>
                    </m:ctrlPr>
                  </m:fPr>
                  <m:num>
                    <m:r>
                      <m:rPr>
                        <m:nor/>
                      </m:rPr>
                      <w:rPr>
                        <w:rFonts w:asciiTheme="majorHAnsi" w:hAnsiTheme="majorHAnsi"/>
                      </w:rPr>
                      <m:t>0,10%</m:t>
                    </m:r>
                  </m:num>
                  <m:den>
                    <m:r>
                      <m:rPr>
                        <m:nor/>
                      </m:rPr>
                      <w:rPr>
                        <w:rFonts w:asciiTheme="majorHAnsi" w:hAnsiTheme="majorHAnsi"/>
                      </w:rPr>
                      <m:t>30</m:t>
                    </m:r>
                  </m:den>
                </m:f>
              </m:oMath>
            </m:oMathPara>
          </w:p>
        </w:tc>
        <w:tc>
          <w:tcPr>
            <w:tcW w:w="426" w:type="dxa"/>
            <w:shd w:val="clear" w:color="auto" w:fill="auto"/>
            <w:vAlign w:val="center"/>
          </w:tcPr>
          <w:p w:rsidR="008C7B53" w:rsidRPr="00D11AA6" w:rsidRDefault="008C7B53" w:rsidP="00610F57">
            <w:pPr>
              <w:jc w:val="center"/>
              <w:rPr>
                <w:rFonts w:asciiTheme="majorHAnsi" w:eastAsia="Arial" w:hAnsiTheme="majorHAnsi"/>
                <w:color w:val="000000"/>
              </w:rPr>
            </w:pPr>
            <w:r w:rsidRPr="00D11AA6">
              <w:rPr>
                <w:rFonts w:asciiTheme="majorHAnsi" w:eastAsia="Arial" w:hAnsiTheme="majorHAnsi"/>
                <w:color w:val="000000"/>
              </w:rPr>
              <w:t>×</w:t>
            </w:r>
          </w:p>
        </w:tc>
        <w:tc>
          <w:tcPr>
            <w:tcW w:w="2835" w:type="dxa"/>
            <w:shd w:val="clear" w:color="auto" w:fill="auto"/>
            <w:vAlign w:val="center"/>
          </w:tcPr>
          <w:p w:rsidR="008C7B53" w:rsidRPr="00D11AA6" w:rsidRDefault="008C7B53" w:rsidP="00516773">
            <w:pPr>
              <w:spacing w:before="0" w:after="0"/>
              <w:ind w:right="33"/>
              <w:jc w:val="center"/>
              <w:rPr>
                <w:rFonts w:asciiTheme="majorHAnsi" w:eastAsia="Arial" w:hAnsiTheme="majorHAnsi"/>
                <w:color w:val="000000"/>
              </w:rPr>
            </w:pPr>
            <w:r w:rsidRPr="00D11AA6">
              <w:rPr>
                <w:rFonts w:asciiTheme="majorHAnsi" w:eastAsia="Arial" w:hAnsiTheme="majorHAnsi"/>
                <w:color w:val="000000"/>
              </w:rPr>
              <w:t xml:space="preserve">Số ngày </w:t>
            </w:r>
            <w:r w:rsidR="009300A7" w:rsidRPr="00D11AA6">
              <w:rPr>
                <w:color w:val="000000"/>
              </w:rPr>
              <w:t>tạm ứng, vay</w:t>
            </w:r>
          </w:p>
          <w:p w:rsidR="008C7B53" w:rsidRPr="00D11AA6" w:rsidRDefault="008C7B53" w:rsidP="00F108BF">
            <w:pPr>
              <w:spacing w:before="0" w:after="0"/>
              <w:ind w:left="-251" w:right="-108"/>
              <w:jc w:val="center"/>
              <w:rPr>
                <w:rFonts w:asciiTheme="majorHAnsi" w:eastAsia="Arial" w:hAnsiTheme="majorHAnsi"/>
                <w:color w:val="000000"/>
              </w:rPr>
            </w:pPr>
            <w:r w:rsidRPr="00D11AA6">
              <w:rPr>
                <w:rFonts w:asciiTheme="majorHAnsi" w:eastAsia="Arial" w:hAnsiTheme="majorHAnsi"/>
                <w:color w:val="000000"/>
              </w:rPr>
              <w:t>thực tế trong tháng</w:t>
            </w:r>
          </w:p>
        </w:tc>
      </w:tr>
    </w:tbl>
    <w:p w:rsidR="00433E07" w:rsidRPr="00952BB1" w:rsidRDefault="00433E07" w:rsidP="00433E07">
      <w:pPr>
        <w:ind w:firstLine="720"/>
        <w:jc w:val="both"/>
        <w:rPr>
          <w:color w:val="000000"/>
        </w:rPr>
      </w:pPr>
      <w:r w:rsidRPr="00952BB1">
        <w:rPr>
          <w:color w:val="000000"/>
        </w:rPr>
        <w:t xml:space="preserve">Trong đó, số ngày </w:t>
      </w:r>
      <w:r w:rsidR="009300A7" w:rsidRPr="00952BB1">
        <w:rPr>
          <w:color w:val="000000"/>
        </w:rPr>
        <w:t xml:space="preserve">tạm ứng, vay </w:t>
      </w:r>
      <w:r w:rsidRPr="00952BB1">
        <w:rPr>
          <w:color w:val="000000"/>
        </w:rPr>
        <w:t xml:space="preserve">thực tế trong tháng (bao gồm cả ngày nghỉ, ngày lễ) được tính từ ngày rút vốn (đối với kỳ tính khoản chi phí sử dụng ngân quỹ nhà nước đầu tiên) hoặc ngày đầu tiên của tháng (đối với các kỳ tính khoản chi phí sử dụng ngân quỹ nhà nước tiếp theo) đến hết ngày cuối cùng của tháng tính khoản chi phí sử dụng ngân quỹ nhà nước hoặc ngày liền kề trước ngày hoàn trả khoản </w:t>
      </w:r>
      <w:r w:rsidR="009300A7" w:rsidRPr="00952BB1">
        <w:rPr>
          <w:color w:val="000000"/>
        </w:rPr>
        <w:t xml:space="preserve">tạm ứng, vay </w:t>
      </w:r>
      <w:r w:rsidRPr="00952BB1">
        <w:rPr>
          <w:color w:val="000000"/>
        </w:rPr>
        <w:t xml:space="preserve">ngân quỹ nhà nước (đối với kỳ tính khoản chi phí sử dụng ngân quỹ nhà nước cuối cùng). </w:t>
      </w:r>
    </w:p>
    <w:p w:rsidR="00433E07" w:rsidRPr="00952BB1" w:rsidRDefault="00433E07" w:rsidP="00433E07">
      <w:pPr>
        <w:ind w:firstLine="720"/>
        <w:jc w:val="both"/>
        <w:rPr>
          <w:color w:val="000000"/>
        </w:rPr>
      </w:pPr>
      <w:r w:rsidRPr="00952BB1">
        <w:rPr>
          <w:color w:val="000000"/>
        </w:rPr>
        <w:t>2. Chi phí sử dụng ngân quỹ nhà nước quá hạn</w:t>
      </w:r>
    </w:p>
    <w:p w:rsidR="00433E07" w:rsidRPr="00952BB1" w:rsidRDefault="00433E07" w:rsidP="00433E07">
      <w:pPr>
        <w:ind w:firstLine="720"/>
        <w:jc w:val="both"/>
        <w:rPr>
          <w:color w:val="000000"/>
        </w:rPr>
      </w:pPr>
      <w:r w:rsidRPr="00952BB1">
        <w:rPr>
          <w:color w:val="000000"/>
        </w:rPr>
        <w:t xml:space="preserve">Trường hợp ngân sách trung ương và ngân sách cấp tỉnh sử dụng khoản </w:t>
      </w:r>
      <w:r w:rsidR="009300A7" w:rsidRPr="00952BB1">
        <w:rPr>
          <w:color w:val="000000"/>
        </w:rPr>
        <w:t xml:space="preserve">tạm ứng, vay </w:t>
      </w:r>
      <w:r w:rsidRPr="00952BB1">
        <w:rPr>
          <w:color w:val="000000"/>
        </w:rPr>
        <w:t xml:space="preserve">ngân quỹ nhà nước quá thời hạn hoàn trả, ngân sách trung ương và ngân sách cấp tỉnh có trách nhiệm thanh toán khoản chi phí sử dụng ngân quỹ nhà nước quá hạn theo mức bằng 150% mức chi phí sử dụng ngân quỹ nhà nước quy định tại Khoản 1 Điều này. Chi phí sử dụng ngân quỹ nhà nước quá hạn được thanh toán một lần cho Kho bạc Nhà nước khi thu hồi khoản </w:t>
      </w:r>
      <w:r w:rsidR="009300A7" w:rsidRPr="00952BB1">
        <w:rPr>
          <w:color w:val="000000"/>
        </w:rPr>
        <w:t>tạm ứng, vay</w:t>
      </w:r>
      <w:r w:rsidRPr="00952BB1">
        <w:rPr>
          <w:color w:val="000000"/>
        </w:rPr>
        <w:t xml:space="preserve"> quá hạn và được xác định như sau:</w:t>
      </w:r>
    </w:p>
    <w:tbl>
      <w:tblPr>
        <w:tblW w:w="8931" w:type="dxa"/>
        <w:jc w:val="center"/>
        <w:tblLayout w:type="fixed"/>
        <w:tblLook w:val="04A0"/>
      </w:tblPr>
      <w:tblGrid>
        <w:gridCol w:w="2835"/>
        <w:gridCol w:w="284"/>
        <w:gridCol w:w="1701"/>
        <w:gridCol w:w="283"/>
        <w:gridCol w:w="992"/>
        <w:gridCol w:w="284"/>
        <w:gridCol w:w="987"/>
        <w:gridCol w:w="1565"/>
      </w:tblGrid>
      <w:tr w:rsidR="00433E07" w:rsidRPr="00952BB1" w:rsidTr="00C35FA8">
        <w:trPr>
          <w:trHeight w:val="1531"/>
          <w:jc w:val="center"/>
        </w:trPr>
        <w:tc>
          <w:tcPr>
            <w:tcW w:w="2835" w:type="dxa"/>
            <w:shd w:val="clear" w:color="auto" w:fill="auto"/>
            <w:vAlign w:val="center"/>
          </w:tcPr>
          <w:p w:rsidR="009A2D10" w:rsidRPr="00D11AA6" w:rsidRDefault="00433E07" w:rsidP="009A2D10">
            <w:pPr>
              <w:spacing w:before="0" w:after="0"/>
              <w:ind w:left="459"/>
              <w:jc w:val="center"/>
              <w:rPr>
                <w:rFonts w:eastAsia="Arial"/>
                <w:color w:val="000000"/>
              </w:rPr>
            </w:pPr>
            <w:r w:rsidRPr="00D11AA6">
              <w:rPr>
                <w:rFonts w:eastAsia="Arial"/>
                <w:color w:val="000000"/>
              </w:rPr>
              <w:t>Chi phí sử dụng</w:t>
            </w:r>
          </w:p>
          <w:p w:rsidR="009A2D10" w:rsidRPr="00D11AA6" w:rsidRDefault="00433E07" w:rsidP="000A315B">
            <w:pPr>
              <w:spacing w:before="0" w:after="0"/>
              <w:ind w:left="459"/>
              <w:jc w:val="center"/>
              <w:rPr>
                <w:rFonts w:eastAsia="Arial"/>
                <w:color w:val="000000"/>
              </w:rPr>
            </w:pPr>
            <w:r w:rsidRPr="00D11AA6">
              <w:rPr>
                <w:rFonts w:eastAsia="Arial"/>
                <w:color w:val="000000"/>
              </w:rPr>
              <w:t>ngân quỹ nhà nướ</w:t>
            </w:r>
            <w:r w:rsidR="009A2D10" w:rsidRPr="00D11AA6">
              <w:rPr>
                <w:rFonts w:eastAsia="Arial"/>
                <w:color w:val="000000"/>
              </w:rPr>
              <w:t>c</w:t>
            </w:r>
          </w:p>
          <w:p w:rsidR="00433E07" w:rsidRPr="00D11AA6" w:rsidRDefault="00433E07">
            <w:pPr>
              <w:spacing w:before="0" w:after="0"/>
              <w:ind w:left="459"/>
              <w:jc w:val="center"/>
              <w:rPr>
                <w:rFonts w:eastAsia="Arial"/>
                <w:color w:val="000000"/>
              </w:rPr>
            </w:pPr>
            <w:r w:rsidRPr="00D11AA6">
              <w:rPr>
                <w:rFonts w:eastAsia="Arial"/>
                <w:color w:val="000000"/>
              </w:rPr>
              <w:t>quá hạn</w:t>
            </w:r>
          </w:p>
        </w:tc>
        <w:tc>
          <w:tcPr>
            <w:tcW w:w="284" w:type="dxa"/>
            <w:shd w:val="clear" w:color="auto" w:fill="auto"/>
            <w:vAlign w:val="center"/>
          </w:tcPr>
          <w:p w:rsidR="00433E07" w:rsidRPr="00D11AA6" w:rsidRDefault="00433E07" w:rsidP="00C35FA8">
            <w:pPr>
              <w:spacing w:before="0" w:after="0"/>
              <w:jc w:val="center"/>
              <w:rPr>
                <w:rFonts w:eastAsia="Arial"/>
                <w:color w:val="000000"/>
              </w:rPr>
            </w:pPr>
            <w:r w:rsidRPr="00D11AA6">
              <w:rPr>
                <w:rFonts w:eastAsia="Arial"/>
                <w:color w:val="000000"/>
              </w:rPr>
              <w:t>=</w:t>
            </w:r>
          </w:p>
        </w:tc>
        <w:tc>
          <w:tcPr>
            <w:tcW w:w="1701" w:type="dxa"/>
            <w:shd w:val="clear" w:color="auto" w:fill="auto"/>
            <w:vAlign w:val="center"/>
          </w:tcPr>
          <w:p w:rsidR="00433E07" w:rsidRPr="00D11AA6" w:rsidRDefault="00433E07" w:rsidP="000A315B">
            <w:pPr>
              <w:jc w:val="center"/>
              <w:rPr>
                <w:rFonts w:eastAsia="Arial"/>
                <w:color w:val="000000"/>
              </w:rPr>
            </w:pPr>
            <w:r w:rsidRPr="00D11AA6">
              <w:rPr>
                <w:rFonts w:eastAsia="Arial"/>
                <w:color w:val="000000"/>
              </w:rPr>
              <w:t xml:space="preserve">Số dư nợ </w:t>
            </w:r>
            <w:r w:rsidR="009300A7" w:rsidRPr="00D11AA6">
              <w:rPr>
                <w:color w:val="000000"/>
              </w:rPr>
              <w:t>tạm ứng, vay</w:t>
            </w:r>
            <w:r w:rsidRPr="00D11AA6">
              <w:rPr>
                <w:rFonts w:eastAsia="Arial"/>
                <w:color w:val="000000"/>
              </w:rPr>
              <w:t xml:space="preserve"> quá hạn</w:t>
            </w:r>
          </w:p>
        </w:tc>
        <w:tc>
          <w:tcPr>
            <w:tcW w:w="283" w:type="dxa"/>
            <w:shd w:val="clear" w:color="auto" w:fill="auto"/>
            <w:vAlign w:val="center"/>
          </w:tcPr>
          <w:p w:rsidR="00433E07" w:rsidRPr="00D11AA6" w:rsidRDefault="00433E07" w:rsidP="00C35FA8">
            <w:pPr>
              <w:spacing w:before="0" w:after="0"/>
              <w:ind w:left="-250" w:right="-108"/>
              <w:jc w:val="center"/>
              <w:rPr>
                <w:rFonts w:eastAsia="Arial"/>
                <w:color w:val="000000"/>
              </w:rPr>
            </w:pPr>
            <w:r w:rsidRPr="00D11AA6">
              <w:rPr>
                <w:rFonts w:eastAsia="Arial"/>
                <w:color w:val="000000"/>
              </w:rPr>
              <w:t>×</w:t>
            </w:r>
          </w:p>
        </w:tc>
        <w:tc>
          <w:tcPr>
            <w:tcW w:w="992" w:type="dxa"/>
            <w:shd w:val="clear" w:color="auto" w:fill="auto"/>
            <w:vAlign w:val="bottom"/>
          </w:tcPr>
          <w:p w:rsidR="00433E07" w:rsidRPr="00D11AA6" w:rsidRDefault="00C74D57" w:rsidP="0003554D">
            <w:pPr>
              <w:ind w:left="-250"/>
              <w:jc w:val="center"/>
            </w:pPr>
            <m:oMathPara>
              <m:oMath>
                <m:f>
                  <m:fPr>
                    <m:ctrlPr>
                      <w:rPr>
                        <w:rFonts w:ascii="Cambria Math" w:hAnsi="Cambria Math"/>
                      </w:rPr>
                    </m:ctrlPr>
                  </m:fPr>
                  <m:num>
                    <m:r>
                      <m:rPr>
                        <m:nor/>
                      </m:rPr>
                      <w:rPr>
                        <w:rFonts w:asciiTheme="majorHAnsi" w:hAnsiTheme="majorHAnsi"/>
                      </w:rPr>
                      <m:t>0,10%</m:t>
                    </m:r>
                  </m:num>
                  <m:den>
                    <m:r>
                      <m:rPr>
                        <m:nor/>
                      </m:rPr>
                      <w:rPr>
                        <w:rFonts w:asciiTheme="majorHAnsi" w:hAnsiTheme="majorHAnsi"/>
                      </w:rPr>
                      <m:t>30</m:t>
                    </m:r>
                  </m:den>
                </m:f>
              </m:oMath>
            </m:oMathPara>
          </w:p>
          <w:p w:rsidR="00433E07" w:rsidRPr="00D11AA6" w:rsidRDefault="00433E07" w:rsidP="00610F57">
            <w:pPr>
              <w:jc w:val="center"/>
              <w:rPr>
                <w:rFonts w:eastAsia="Arial"/>
                <w:color w:val="000000"/>
              </w:rPr>
            </w:pPr>
          </w:p>
        </w:tc>
        <w:tc>
          <w:tcPr>
            <w:tcW w:w="284" w:type="dxa"/>
            <w:shd w:val="clear" w:color="auto" w:fill="auto"/>
            <w:vAlign w:val="center"/>
          </w:tcPr>
          <w:p w:rsidR="00433E07" w:rsidRPr="00D11AA6" w:rsidRDefault="00433E07" w:rsidP="00C35FA8">
            <w:pPr>
              <w:spacing w:before="0" w:after="0"/>
              <w:ind w:left="-108"/>
              <w:jc w:val="center"/>
              <w:rPr>
                <w:rFonts w:eastAsia="Arial"/>
                <w:color w:val="000000"/>
              </w:rPr>
            </w:pPr>
            <w:r w:rsidRPr="00D11AA6">
              <w:rPr>
                <w:rFonts w:eastAsia="Arial"/>
                <w:color w:val="000000"/>
              </w:rPr>
              <w:t>×</w:t>
            </w:r>
          </w:p>
        </w:tc>
        <w:tc>
          <w:tcPr>
            <w:tcW w:w="987" w:type="dxa"/>
            <w:shd w:val="clear" w:color="auto" w:fill="auto"/>
            <w:vAlign w:val="center"/>
          </w:tcPr>
          <w:p w:rsidR="00433E07" w:rsidRPr="00D11AA6" w:rsidRDefault="00433E07" w:rsidP="00C35FA8">
            <w:pPr>
              <w:spacing w:before="0" w:after="0"/>
              <w:ind w:left="-113"/>
              <w:jc w:val="center"/>
              <w:rPr>
                <w:rFonts w:eastAsia="Arial"/>
                <w:color w:val="000000"/>
              </w:rPr>
            </w:pPr>
            <w:r w:rsidRPr="00D11AA6">
              <w:rPr>
                <w:rFonts w:eastAsia="Arial"/>
                <w:color w:val="000000"/>
              </w:rPr>
              <w:t>150% ×</w:t>
            </w:r>
          </w:p>
        </w:tc>
        <w:tc>
          <w:tcPr>
            <w:tcW w:w="1565" w:type="dxa"/>
            <w:shd w:val="clear" w:color="auto" w:fill="auto"/>
            <w:vAlign w:val="center"/>
          </w:tcPr>
          <w:p w:rsidR="009300A7" w:rsidRPr="00D11AA6" w:rsidRDefault="00433E07" w:rsidP="00120F25">
            <w:pPr>
              <w:spacing w:before="0" w:after="0"/>
              <w:ind w:left="-108" w:right="-108"/>
              <w:jc w:val="center"/>
              <w:rPr>
                <w:rFonts w:eastAsia="Arial"/>
                <w:color w:val="000000"/>
              </w:rPr>
            </w:pPr>
            <w:r w:rsidRPr="00D11AA6">
              <w:rPr>
                <w:rFonts w:eastAsia="Arial"/>
                <w:color w:val="000000"/>
              </w:rPr>
              <w:t>Số ngày</w:t>
            </w:r>
          </w:p>
          <w:p w:rsidR="00433E07" w:rsidRPr="00D11AA6" w:rsidRDefault="009300A7" w:rsidP="000A315B">
            <w:pPr>
              <w:spacing w:before="0" w:after="0"/>
              <w:ind w:left="-108" w:right="-108"/>
              <w:jc w:val="center"/>
              <w:rPr>
                <w:rFonts w:eastAsia="Arial"/>
                <w:color w:val="000000"/>
              </w:rPr>
            </w:pPr>
            <w:r w:rsidRPr="00D11AA6">
              <w:rPr>
                <w:color w:val="000000"/>
              </w:rPr>
              <w:t>tạm ứng, vay</w:t>
            </w:r>
          </w:p>
          <w:p w:rsidR="00433E07" w:rsidRPr="00D11AA6" w:rsidRDefault="00433E07" w:rsidP="00120F25">
            <w:pPr>
              <w:spacing w:before="0" w:after="0"/>
              <w:ind w:left="-108" w:right="-108"/>
              <w:jc w:val="center"/>
              <w:rPr>
                <w:rFonts w:eastAsia="Arial"/>
                <w:color w:val="000000"/>
              </w:rPr>
            </w:pPr>
            <w:r w:rsidRPr="00D11AA6">
              <w:rPr>
                <w:rFonts w:eastAsia="Arial"/>
                <w:color w:val="000000"/>
              </w:rPr>
              <w:t>quá hạn</w:t>
            </w:r>
          </w:p>
        </w:tc>
      </w:tr>
    </w:tbl>
    <w:p w:rsidR="00433E07" w:rsidRPr="00952BB1" w:rsidRDefault="00433E07" w:rsidP="00B21463">
      <w:pPr>
        <w:tabs>
          <w:tab w:val="left" w:pos="993"/>
        </w:tabs>
        <w:ind w:firstLine="720"/>
        <w:jc w:val="both"/>
        <w:rPr>
          <w:color w:val="000000"/>
        </w:rPr>
      </w:pPr>
      <w:r w:rsidRPr="00952BB1">
        <w:rPr>
          <w:color w:val="000000"/>
        </w:rPr>
        <w:t xml:space="preserve">Trong đó, số ngày </w:t>
      </w:r>
      <w:r w:rsidR="009300A7" w:rsidRPr="00952BB1">
        <w:rPr>
          <w:color w:val="000000"/>
        </w:rPr>
        <w:t>tạm ứng, vay</w:t>
      </w:r>
      <w:r w:rsidRPr="00952BB1">
        <w:rPr>
          <w:color w:val="000000"/>
        </w:rPr>
        <w:t xml:space="preserve"> quá hạn (bao gồm cả ngày nghỉ, ngày lễ) được tính từ ngày đến hạn hoàn trả khoản </w:t>
      </w:r>
      <w:r w:rsidR="009300A7" w:rsidRPr="00952BB1">
        <w:rPr>
          <w:color w:val="000000"/>
        </w:rPr>
        <w:t>tạm ứng, vay</w:t>
      </w:r>
      <w:r w:rsidRPr="00952BB1">
        <w:rPr>
          <w:color w:val="000000"/>
        </w:rPr>
        <w:t xml:space="preserve"> ngân quỹ nhà nước </w:t>
      </w:r>
      <w:r w:rsidR="009A273D" w:rsidRPr="00952BB1">
        <w:rPr>
          <w:color w:val="000000"/>
        </w:rPr>
        <w:t>mà không hoàn trả</w:t>
      </w:r>
      <w:r w:rsidRPr="00952BB1">
        <w:rPr>
          <w:color w:val="000000"/>
        </w:rPr>
        <w:t xml:space="preserve"> đến hết ngày liền kề trước ngày </w:t>
      </w:r>
      <w:r w:rsidR="009A273D" w:rsidRPr="00952BB1">
        <w:rPr>
          <w:color w:val="000000"/>
        </w:rPr>
        <w:t xml:space="preserve">thực </w:t>
      </w:r>
      <w:r w:rsidRPr="00952BB1">
        <w:rPr>
          <w:color w:val="000000"/>
        </w:rPr>
        <w:t xml:space="preserve">trả khoản </w:t>
      </w:r>
      <w:r w:rsidR="009300A7" w:rsidRPr="00952BB1">
        <w:rPr>
          <w:color w:val="000000"/>
        </w:rPr>
        <w:t>tạm ứng, vay</w:t>
      </w:r>
      <w:r w:rsidRPr="00952BB1">
        <w:rPr>
          <w:color w:val="000000"/>
        </w:rPr>
        <w:t xml:space="preserve"> quá hạn.</w:t>
      </w:r>
    </w:p>
    <w:p w:rsidR="009A273D" w:rsidRPr="00952BB1" w:rsidRDefault="00C5587C">
      <w:pPr>
        <w:tabs>
          <w:tab w:val="left" w:pos="993"/>
        </w:tabs>
        <w:ind w:firstLine="720"/>
        <w:jc w:val="both"/>
        <w:rPr>
          <w:color w:val="000000"/>
        </w:rPr>
      </w:pPr>
      <w:r w:rsidRPr="00952BB1">
        <w:rPr>
          <w:color w:val="000000"/>
        </w:rPr>
        <w:t xml:space="preserve">3. </w:t>
      </w:r>
      <w:r w:rsidR="00433E07" w:rsidRPr="00952BB1">
        <w:rPr>
          <w:color w:val="000000"/>
        </w:rPr>
        <w:t xml:space="preserve">Trường hợp khoản </w:t>
      </w:r>
      <w:r w:rsidR="009300A7" w:rsidRPr="00952BB1">
        <w:rPr>
          <w:color w:val="000000"/>
        </w:rPr>
        <w:t>tạm ứng, vay</w:t>
      </w:r>
      <w:r w:rsidR="00433E07" w:rsidRPr="00952BB1">
        <w:rPr>
          <w:color w:val="000000"/>
        </w:rPr>
        <w:t xml:space="preserve"> ngân quỹ nhà nước đã quá hạn nhưng được Bộ Tài chính gia hạn thì được áp dụng mức chi phí sử dụng ngân quỹ nhà nước quy định tại Khoản 1 Điều nàycho đến hết thời gian được gia hạn.</w:t>
      </w:r>
    </w:p>
    <w:p w:rsidR="00A70A14" w:rsidRPr="00952BB1" w:rsidRDefault="00A70A14" w:rsidP="00530A1F">
      <w:pPr>
        <w:pStyle w:val="ListParagraph"/>
        <w:tabs>
          <w:tab w:val="left" w:pos="993"/>
        </w:tabs>
        <w:ind w:left="0" w:firstLine="720"/>
        <w:contextualSpacing w:val="0"/>
        <w:jc w:val="both"/>
        <w:rPr>
          <w:b/>
        </w:rPr>
      </w:pPr>
      <w:r w:rsidRPr="00952BB1">
        <w:rPr>
          <w:b/>
          <w:lang w:val="vi-VN"/>
        </w:rPr>
        <w:t>Điều 4. Điều khoả</w:t>
      </w:r>
      <w:r w:rsidR="005560B4" w:rsidRPr="00952BB1">
        <w:rPr>
          <w:b/>
          <w:lang w:val="vi-VN"/>
        </w:rPr>
        <w:t xml:space="preserve">n </w:t>
      </w:r>
      <w:r w:rsidR="00743919" w:rsidRPr="00952BB1">
        <w:rPr>
          <w:b/>
        </w:rPr>
        <w:t>chuyển tiếp</w:t>
      </w:r>
    </w:p>
    <w:p w:rsidR="00000D82" w:rsidRDefault="007723C4" w:rsidP="00530A1F">
      <w:pPr>
        <w:pStyle w:val="ListParagraph"/>
        <w:tabs>
          <w:tab w:val="left" w:pos="709"/>
          <w:tab w:val="left" w:pos="993"/>
        </w:tabs>
        <w:ind w:left="0" w:firstLine="720"/>
        <w:contextualSpacing w:val="0"/>
        <w:jc w:val="both"/>
        <w:rPr>
          <w:color w:val="000000" w:themeColor="text1"/>
          <w:lang w:val="vi-VN"/>
        </w:rPr>
      </w:pPr>
      <w:r>
        <w:rPr>
          <w:color w:val="000000" w:themeColor="text1"/>
        </w:rPr>
        <w:t xml:space="preserve">1. </w:t>
      </w:r>
      <w:r w:rsidR="003D69F8" w:rsidRPr="00952BB1">
        <w:rPr>
          <w:color w:val="000000" w:themeColor="text1"/>
          <w:lang w:val="vi-VN"/>
        </w:rPr>
        <w:t xml:space="preserve">Các khoản tạm ứngngân quỹ nhà nước </w:t>
      </w:r>
      <w:r w:rsidR="00095D00" w:rsidRPr="00952BB1">
        <w:rPr>
          <w:color w:val="000000" w:themeColor="text1"/>
          <w:lang w:val="pl-PL"/>
        </w:rPr>
        <w:t>của</w:t>
      </w:r>
      <w:r w:rsidR="001E0899" w:rsidRPr="00952BB1">
        <w:rPr>
          <w:color w:val="000000" w:themeColor="text1"/>
          <w:lang w:val="pl-PL"/>
        </w:rPr>
        <w:t xml:space="preserve"> ngân sách t</w:t>
      </w:r>
      <w:r w:rsidR="00095D00" w:rsidRPr="00952BB1">
        <w:rPr>
          <w:color w:val="000000" w:themeColor="text1"/>
          <w:lang w:val="pl-PL"/>
        </w:rPr>
        <w:t xml:space="preserve">rung ương và ngân sách cấp tỉnh </w:t>
      </w:r>
      <w:r w:rsidR="003D69F8" w:rsidRPr="00952BB1">
        <w:rPr>
          <w:color w:val="000000" w:themeColor="text1"/>
          <w:lang w:val="vi-VN"/>
        </w:rPr>
        <w:t xml:space="preserve">được phê duyệt trước ngày Thông tư này có hiệu lực thi </w:t>
      </w:r>
      <w:r w:rsidR="003D69F8" w:rsidRPr="00952BB1">
        <w:rPr>
          <w:color w:val="000000" w:themeColor="text1"/>
          <w:lang w:val="vi-VN"/>
        </w:rPr>
        <w:lastRenderedPageBreak/>
        <w:t>hành nhưng thực hiện rút vốn sau ngày Thông tư này có hiệu lự</w:t>
      </w:r>
      <w:r w:rsidR="00095D00" w:rsidRPr="00952BB1">
        <w:rPr>
          <w:color w:val="000000" w:themeColor="text1"/>
          <w:lang w:val="vi-VN"/>
        </w:rPr>
        <w:t>c thi hành</w:t>
      </w:r>
      <w:r w:rsidR="004B1DD2" w:rsidRPr="00952BB1">
        <w:rPr>
          <w:color w:val="000000" w:themeColor="text1"/>
          <w:lang w:val="vi-VN"/>
        </w:rPr>
        <w:t xml:space="preserve">được áp dụng mức chi phí sử dụng ngân quỹ nhà nước và chi phí sử dụng ngân quỹ nhà nước quá hạn </w:t>
      </w:r>
      <w:r w:rsidR="004B1DD2" w:rsidRPr="00952BB1">
        <w:rPr>
          <w:color w:val="000000" w:themeColor="text1"/>
          <w:lang w:val="pl-PL"/>
        </w:rPr>
        <w:t xml:space="preserve">(nếu có) </w:t>
      </w:r>
      <w:r w:rsidR="004B1DD2" w:rsidRPr="00952BB1">
        <w:rPr>
          <w:color w:val="000000" w:themeColor="text1"/>
          <w:lang w:val="vi-VN"/>
        </w:rPr>
        <w:t>theo quy định tại Thông tư này.</w:t>
      </w:r>
    </w:p>
    <w:p w:rsidR="007723C4" w:rsidRPr="00C35FA8" w:rsidRDefault="007723C4" w:rsidP="00530A1F">
      <w:pPr>
        <w:pStyle w:val="ListParagraph"/>
        <w:tabs>
          <w:tab w:val="left" w:pos="709"/>
          <w:tab w:val="left" w:pos="993"/>
        </w:tabs>
        <w:ind w:left="0" w:firstLine="720"/>
        <w:contextualSpacing w:val="0"/>
        <w:jc w:val="both"/>
        <w:rPr>
          <w:b/>
          <w:lang w:val="vi-VN"/>
        </w:rPr>
      </w:pPr>
      <w:r w:rsidRPr="00C35FA8">
        <w:rPr>
          <w:color w:val="000000" w:themeColor="text1"/>
          <w:lang w:val="vi-VN"/>
        </w:rPr>
        <w:t xml:space="preserve">2. </w:t>
      </w:r>
      <w:r w:rsidR="00214BC0" w:rsidRPr="00C35FA8">
        <w:rPr>
          <w:color w:val="000000" w:themeColor="text1"/>
          <w:lang w:val="vi-VN"/>
        </w:rPr>
        <w:t xml:space="preserve">Dư nợ vay </w:t>
      </w:r>
      <w:r w:rsidR="00214BC0" w:rsidRPr="00952BB1">
        <w:rPr>
          <w:color w:val="000000" w:themeColor="text1"/>
          <w:lang w:val="vi-VN"/>
        </w:rPr>
        <w:t xml:space="preserve">ngân quỹ nhà nước </w:t>
      </w:r>
      <w:r w:rsidR="00214BC0" w:rsidRPr="00952BB1">
        <w:rPr>
          <w:color w:val="000000" w:themeColor="text1"/>
          <w:lang w:val="pl-PL"/>
        </w:rPr>
        <w:t>của ngân sách trung ương</w:t>
      </w:r>
      <w:r w:rsidR="00214BC0">
        <w:rPr>
          <w:color w:val="000000" w:themeColor="text1"/>
          <w:lang w:val="pl-PL"/>
        </w:rPr>
        <w:t xml:space="preserve"> được áp dụng </w:t>
      </w:r>
      <w:r w:rsidR="00214BC0" w:rsidRPr="00952BB1">
        <w:rPr>
          <w:color w:val="000000" w:themeColor="text1"/>
          <w:lang w:val="vi-VN"/>
        </w:rPr>
        <w:t xml:space="preserve">mức chi phí sử dụng ngân quỹ nhà nước và chi phí sử dụng ngân quỹ nhà nước quá hạn </w:t>
      </w:r>
      <w:r w:rsidR="00214BC0" w:rsidRPr="00952BB1">
        <w:rPr>
          <w:color w:val="000000" w:themeColor="text1"/>
          <w:lang w:val="pl-PL"/>
        </w:rPr>
        <w:t xml:space="preserve">(nếu có) </w:t>
      </w:r>
      <w:r w:rsidR="00214BC0" w:rsidRPr="00952BB1">
        <w:rPr>
          <w:color w:val="000000" w:themeColor="text1"/>
          <w:lang w:val="vi-VN"/>
        </w:rPr>
        <w:t>theo quy định tại Thông tư này</w:t>
      </w:r>
      <w:r w:rsidR="00214BC0" w:rsidRPr="00C35FA8">
        <w:rPr>
          <w:color w:val="000000" w:themeColor="text1"/>
          <w:lang w:val="vi-VN"/>
        </w:rPr>
        <w:t>.</w:t>
      </w:r>
    </w:p>
    <w:p w:rsidR="009E0BFA" w:rsidRPr="00952BB1" w:rsidRDefault="009E0BFA" w:rsidP="00530A1F">
      <w:pPr>
        <w:pStyle w:val="ListParagraph"/>
        <w:tabs>
          <w:tab w:val="left" w:pos="993"/>
        </w:tabs>
        <w:ind w:left="0" w:firstLine="720"/>
        <w:contextualSpacing w:val="0"/>
        <w:jc w:val="both"/>
        <w:rPr>
          <w:b/>
          <w:lang w:val="vi-VN"/>
        </w:rPr>
      </w:pPr>
      <w:r w:rsidRPr="00952BB1">
        <w:rPr>
          <w:b/>
          <w:lang w:val="vi-VN"/>
        </w:rPr>
        <w:t xml:space="preserve">Điều </w:t>
      </w:r>
      <w:r w:rsidR="00A70A14" w:rsidRPr="00952BB1">
        <w:rPr>
          <w:b/>
          <w:lang w:val="vi-VN"/>
        </w:rPr>
        <w:t>5</w:t>
      </w:r>
      <w:r w:rsidRPr="00952BB1">
        <w:rPr>
          <w:b/>
          <w:lang w:val="vi-VN"/>
        </w:rPr>
        <w:t xml:space="preserve">. </w:t>
      </w:r>
      <w:r w:rsidR="007E6241" w:rsidRPr="00952BB1">
        <w:rPr>
          <w:b/>
          <w:lang w:val="vi-VN"/>
        </w:rPr>
        <w:t>Hiệu lực</w:t>
      </w:r>
      <w:r w:rsidRPr="00952BB1">
        <w:rPr>
          <w:b/>
          <w:lang w:val="vi-VN"/>
        </w:rPr>
        <w:t xml:space="preserve"> thi hành</w:t>
      </w:r>
    </w:p>
    <w:p w:rsidR="004220E0" w:rsidRPr="00952BB1" w:rsidRDefault="009E0BFA" w:rsidP="00530A1F">
      <w:pPr>
        <w:pStyle w:val="ListParagraph"/>
        <w:numPr>
          <w:ilvl w:val="0"/>
          <w:numId w:val="7"/>
        </w:numPr>
        <w:tabs>
          <w:tab w:val="left" w:pos="993"/>
        </w:tabs>
        <w:ind w:left="0" w:firstLine="720"/>
        <w:contextualSpacing w:val="0"/>
        <w:jc w:val="both"/>
        <w:rPr>
          <w:lang w:val="vi-VN"/>
        </w:rPr>
      </w:pPr>
      <w:r w:rsidRPr="00952BB1">
        <w:rPr>
          <w:lang w:val="vi-VN"/>
        </w:rPr>
        <w:t>Thông tư này có hiệu lực thi hành</w:t>
      </w:r>
      <w:r w:rsidR="00AF4A21" w:rsidRPr="00952BB1">
        <w:rPr>
          <w:lang w:val="vi-VN"/>
        </w:rPr>
        <w:t xml:space="preserve"> kể</w:t>
      </w:r>
      <w:r w:rsidRPr="00952BB1">
        <w:rPr>
          <w:lang w:val="vi-VN"/>
        </w:rPr>
        <w:t xml:space="preserve"> từ </w:t>
      </w:r>
      <w:r w:rsidR="00EA17AE" w:rsidRPr="00952BB1">
        <w:rPr>
          <w:lang w:val="vi-VN"/>
        </w:rPr>
        <w:t xml:space="preserve">ngày </w:t>
      </w:r>
      <w:r w:rsidR="004020DE" w:rsidRPr="00C35FA8">
        <w:rPr>
          <w:lang w:val="vi-VN"/>
        </w:rPr>
        <w:t>01</w:t>
      </w:r>
      <w:r w:rsidR="00EA17AE" w:rsidRPr="00952BB1">
        <w:rPr>
          <w:lang w:val="vi-VN"/>
        </w:rPr>
        <w:t xml:space="preserve"> tháng </w:t>
      </w:r>
      <w:r w:rsidR="004020DE" w:rsidRPr="00C35FA8">
        <w:rPr>
          <w:lang w:val="vi-VN"/>
        </w:rPr>
        <w:t>5</w:t>
      </w:r>
      <w:r w:rsidRPr="00952BB1">
        <w:rPr>
          <w:lang w:val="vi-VN"/>
        </w:rPr>
        <w:t>năm 201</w:t>
      </w:r>
      <w:r w:rsidR="00857927" w:rsidRPr="00952BB1">
        <w:rPr>
          <w:lang w:val="pl-PL"/>
        </w:rPr>
        <w:t>9</w:t>
      </w:r>
      <w:r w:rsidR="00643886" w:rsidRPr="00952BB1">
        <w:rPr>
          <w:lang w:val="vi-VN"/>
        </w:rPr>
        <w:t xml:space="preserve">. </w:t>
      </w:r>
    </w:p>
    <w:p w:rsidR="004220E0" w:rsidRPr="00952BB1" w:rsidRDefault="004220E0" w:rsidP="00530A1F">
      <w:pPr>
        <w:pStyle w:val="ListParagraph"/>
        <w:numPr>
          <w:ilvl w:val="0"/>
          <w:numId w:val="7"/>
        </w:numPr>
        <w:tabs>
          <w:tab w:val="left" w:pos="993"/>
        </w:tabs>
        <w:ind w:left="0" w:firstLine="720"/>
        <w:contextualSpacing w:val="0"/>
        <w:jc w:val="both"/>
        <w:rPr>
          <w:lang w:val="vi-VN"/>
        </w:rPr>
      </w:pPr>
      <w:r w:rsidRPr="00952BB1">
        <w:rPr>
          <w:lang w:val="vi-VN"/>
        </w:rPr>
        <w:t xml:space="preserve">Bãi bỏ </w:t>
      </w:r>
      <w:r w:rsidR="00B1785E" w:rsidRPr="00952BB1">
        <w:rPr>
          <w:lang w:val="vi-VN"/>
        </w:rPr>
        <w:t xml:space="preserve">quy định về chi phí sử dụng ngân quỹ nhà nước và chi phí sử dụng ngân quỹ nhà nước quá hạn tại Khoản 5, Điều 1 Thông tư số 06/2018/TT-BTC ngày 24 tháng 01 năm 2018 của Bộ Tài chính sửa đổi, bổ sung một số điều của Thông tư số 30/2017/TT-BTC </w:t>
      </w:r>
      <w:r w:rsidR="00766C85" w:rsidRPr="00952BB1">
        <w:rPr>
          <w:lang w:val="vi-VN"/>
        </w:rPr>
        <w:t>ngày 18</w:t>
      </w:r>
      <w:r w:rsidR="007E0F4F" w:rsidRPr="00952BB1">
        <w:rPr>
          <w:lang w:val="vi-VN"/>
        </w:rPr>
        <w:t xml:space="preserve"> tháng 4 năm </w:t>
      </w:r>
      <w:r w:rsidR="00766C85" w:rsidRPr="00952BB1">
        <w:rPr>
          <w:lang w:val="vi-VN"/>
        </w:rPr>
        <w:t xml:space="preserve">2017 của Bộ Tài chính quy định tạm ứng </w:t>
      </w:r>
      <w:r w:rsidR="007E0F4F" w:rsidRPr="00952BB1">
        <w:rPr>
          <w:color w:val="000000" w:themeColor="text1"/>
          <w:lang w:val="vi-VN"/>
        </w:rPr>
        <w:t>ngân quỹ nhà nước</w:t>
      </w:r>
      <w:r w:rsidR="00766C85" w:rsidRPr="00952BB1">
        <w:rPr>
          <w:lang w:val="vi-VN"/>
        </w:rPr>
        <w:t xml:space="preserve"> cho ngân sách nhà nướ</w:t>
      </w:r>
      <w:r w:rsidR="007E0F4F" w:rsidRPr="00952BB1">
        <w:rPr>
          <w:lang w:val="vi-VN"/>
        </w:rPr>
        <w:t>c.</w:t>
      </w:r>
    </w:p>
    <w:p w:rsidR="009E0BFA" w:rsidRPr="00952BB1" w:rsidRDefault="00A15038" w:rsidP="00530A1F">
      <w:pPr>
        <w:pStyle w:val="ListParagraph"/>
        <w:numPr>
          <w:ilvl w:val="0"/>
          <w:numId w:val="7"/>
        </w:numPr>
        <w:tabs>
          <w:tab w:val="left" w:pos="993"/>
        </w:tabs>
        <w:ind w:left="0" w:firstLine="720"/>
        <w:contextualSpacing w:val="0"/>
        <w:jc w:val="both"/>
        <w:rPr>
          <w:rFonts w:asciiTheme="majorHAnsi" w:hAnsiTheme="majorHAnsi"/>
          <w:color w:val="000000"/>
          <w:shd w:val="clear" w:color="auto" w:fill="FFFFFF"/>
          <w:lang w:val="vi-VN"/>
        </w:rPr>
      </w:pPr>
      <w:r w:rsidRPr="00952BB1">
        <w:rPr>
          <w:rFonts w:asciiTheme="majorHAnsi" w:hAnsiTheme="majorHAnsi"/>
          <w:color w:val="000000"/>
          <w:shd w:val="clear" w:color="auto" w:fill="FFFFFF"/>
          <w:lang w:val="vi-VN"/>
        </w:rPr>
        <w:t>Kho bạc Nhà nước</w:t>
      </w:r>
      <w:r w:rsidR="009E0BFA" w:rsidRPr="00952BB1">
        <w:rPr>
          <w:rFonts w:asciiTheme="majorHAnsi" w:hAnsiTheme="majorHAnsi"/>
          <w:color w:val="000000"/>
          <w:shd w:val="clear" w:color="auto" w:fill="FFFFFF"/>
          <w:lang w:val="vi-VN"/>
        </w:rPr>
        <w:t xml:space="preserve"> và các cơ quan, đơn</w:t>
      </w:r>
      <w:r w:rsidR="009E0BFA" w:rsidRPr="00952BB1">
        <w:rPr>
          <w:rStyle w:val="apple-converted-space"/>
          <w:rFonts w:asciiTheme="majorHAnsi" w:hAnsiTheme="majorHAnsi"/>
          <w:color w:val="000000"/>
          <w:shd w:val="clear" w:color="auto" w:fill="FFFFFF"/>
          <w:lang w:val="vi-VN"/>
        </w:rPr>
        <w:t> </w:t>
      </w:r>
      <w:r w:rsidR="009E0BFA" w:rsidRPr="00952BB1">
        <w:rPr>
          <w:rFonts w:asciiTheme="majorHAnsi" w:hAnsiTheme="majorHAnsi"/>
          <w:color w:val="000000"/>
          <w:shd w:val="clear" w:color="auto" w:fill="FFFFFF"/>
          <w:lang w:val="vi-VN"/>
        </w:rPr>
        <w:t>vị, tổ chức và cá nhân có liên quan chịu trách nhiệ</w:t>
      </w:r>
      <w:r w:rsidR="00643886" w:rsidRPr="00952BB1">
        <w:rPr>
          <w:rFonts w:asciiTheme="majorHAnsi" w:hAnsiTheme="majorHAnsi"/>
          <w:color w:val="000000"/>
          <w:shd w:val="clear" w:color="auto" w:fill="FFFFFF"/>
          <w:lang w:val="vi-VN"/>
        </w:rPr>
        <w:t>m thi hành Thông tư này./.</w:t>
      </w:r>
    </w:p>
    <w:tbl>
      <w:tblPr>
        <w:tblW w:w="9640" w:type="dxa"/>
        <w:tblInd w:w="-142" w:type="dxa"/>
        <w:tblLook w:val="01E0"/>
      </w:tblPr>
      <w:tblGrid>
        <w:gridCol w:w="5104"/>
        <w:gridCol w:w="4536"/>
      </w:tblGrid>
      <w:tr w:rsidR="00643886" w:rsidRPr="00643886" w:rsidTr="009C126B">
        <w:tc>
          <w:tcPr>
            <w:tcW w:w="5104" w:type="dxa"/>
          </w:tcPr>
          <w:p w:rsidR="00643886" w:rsidRPr="00952BB1" w:rsidRDefault="00643886" w:rsidP="00123952">
            <w:pPr>
              <w:spacing w:after="0"/>
              <w:contextualSpacing/>
              <w:rPr>
                <w:rFonts w:eastAsia="Times New Roman" w:cs="Times New Roman"/>
                <w:b/>
                <w:i/>
                <w:color w:val="000000"/>
                <w:sz w:val="24"/>
                <w:szCs w:val="24"/>
                <w:lang w:val="nl-NL"/>
              </w:rPr>
            </w:pPr>
            <w:r w:rsidRPr="00952BB1">
              <w:rPr>
                <w:rFonts w:eastAsia="Times New Roman" w:cs="Times New Roman"/>
                <w:b/>
                <w:i/>
                <w:color w:val="000000"/>
                <w:sz w:val="24"/>
                <w:szCs w:val="24"/>
                <w:lang w:val="nl-NL"/>
              </w:rPr>
              <w:t>Nơi nhận:</w:t>
            </w:r>
          </w:p>
          <w:p w:rsidR="00643886" w:rsidRPr="00952BB1" w:rsidRDefault="00643886" w:rsidP="000C58A6">
            <w:pPr>
              <w:spacing w:before="0" w:after="0"/>
              <w:contextualSpacing/>
              <w:rPr>
                <w:rFonts w:eastAsia="Times New Roman" w:cs="Times New Roman"/>
                <w:color w:val="000000"/>
                <w:sz w:val="22"/>
                <w:lang w:val="nl-NL"/>
              </w:rPr>
            </w:pPr>
            <w:r w:rsidRPr="00952BB1">
              <w:rPr>
                <w:rFonts w:eastAsia="Times New Roman" w:cs="Times New Roman"/>
                <w:color w:val="000000"/>
                <w:sz w:val="22"/>
                <w:lang w:val="nl-NL"/>
              </w:rPr>
              <w:t>- Ban Bí thư Trung ương Đảng;</w:t>
            </w:r>
          </w:p>
          <w:p w:rsidR="00643886" w:rsidRPr="00952BB1" w:rsidRDefault="00643886" w:rsidP="000C58A6">
            <w:pPr>
              <w:spacing w:before="0" w:after="0"/>
              <w:contextualSpacing/>
              <w:rPr>
                <w:rFonts w:eastAsia="Times New Roman" w:cs="Times New Roman"/>
                <w:color w:val="000000"/>
                <w:sz w:val="22"/>
                <w:lang w:val="nl-NL"/>
              </w:rPr>
            </w:pPr>
            <w:r w:rsidRPr="00952BB1">
              <w:rPr>
                <w:rFonts w:eastAsia="Times New Roman" w:cs="Times New Roman"/>
                <w:color w:val="000000"/>
                <w:sz w:val="22"/>
                <w:lang w:val="nl-NL"/>
              </w:rPr>
              <w:t xml:space="preserve">- Thủ tướng, các Phó Thủ tướng Chính phủ; </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Văn phòng Tổng Bí thư;</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Văn phòng Chủ tịch nước;</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xml:space="preserve">- Văn phòng </w:t>
            </w:r>
            <w:r w:rsidRPr="00952BB1">
              <w:rPr>
                <w:rFonts w:eastAsia="Times New Roman" w:cs="Times New Roman"/>
                <w:color w:val="000000"/>
                <w:sz w:val="22"/>
                <w:lang w:val="nl-NL"/>
              </w:rPr>
              <w:t>Trung ương</w:t>
            </w:r>
            <w:r w:rsidRPr="00952BB1">
              <w:rPr>
                <w:rFonts w:eastAsia="Times New Roman" w:cs="Times New Roman"/>
                <w:color w:val="000000"/>
                <w:sz w:val="22"/>
                <w:szCs w:val="22"/>
                <w:lang w:val="nl-NL"/>
              </w:rPr>
              <w:t xml:space="preserve"> và các Ban của Đảng;</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Văn phòng Quốc hội;</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Hội đồng dân tộc và các Ủy ban của Quốc hội;</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Văn phòng Chính phủ;</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Ban Nội chính Trung ương;</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Toà án nhân dân tối cao;</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Viện kiểm sát nhân dân tối cao;</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Kiểm toán Nhà nước;</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Các Bộ, cơ quan ngang Bộ, cơ quan thuộc Chính phủ;</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xml:space="preserve">- Cơ quan </w:t>
            </w:r>
            <w:r w:rsidRPr="00952BB1">
              <w:rPr>
                <w:rFonts w:eastAsia="Times New Roman" w:cs="Times New Roman"/>
                <w:color w:val="000000"/>
                <w:sz w:val="22"/>
                <w:lang w:val="nl-NL"/>
              </w:rPr>
              <w:t>Trung ương</w:t>
            </w:r>
            <w:r w:rsidRPr="00952BB1">
              <w:rPr>
                <w:rFonts w:eastAsia="Times New Roman" w:cs="Times New Roman"/>
                <w:color w:val="000000"/>
                <w:sz w:val="22"/>
                <w:szCs w:val="22"/>
                <w:lang w:val="nl-NL"/>
              </w:rPr>
              <w:t xml:space="preserve"> của các đoàn thể;</w:t>
            </w:r>
          </w:p>
          <w:p w:rsidR="00643886" w:rsidRPr="00952BB1" w:rsidRDefault="00643886" w:rsidP="000C58A6">
            <w:pPr>
              <w:spacing w:before="0" w:after="0"/>
              <w:contextualSpacing/>
              <w:rPr>
                <w:rFonts w:eastAsia="Times New Roman" w:cs="Times New Roman"/>
                <w:color w:val="000000"/>
                <w:sz w:val="22"/>
                <w:lang w:val="nl-NL"/>
              </w:rPr>
            </w:pPr>
            <w:r w:rsidRPr="00952BB1">
              <w:rPr>
                <w:rFonts w:eastAsia="Times New Roman" w:cs="Times New Roman"/>
                <w:color w:val="000000"/>
                <w:sz w:val="22"/>
                <w:szCs w:val="22"/>
                <w:lang w:val="nl-NL"/>
              </w:rPr>
              <w:t xml:space="preserve">- </w:t>
            </w:r>
            <w:r w:rsidRPr="00952BB1">
              <w:rPr>
                <w:rFonts w:eastAsia="Times New Roman" w:cs="Times New Roman"/>
                <w:color w:val="000000"/>
                <w:sz w:val="22"/>
                <w:lang w:val="nl-NL"/>
              </w:rPr>
              <w:t>Hội đồng nhân dân, Uỷ ban nhân dân</w:t>
            </w:r>
          </w:p>
          <w:p w:rsidR="00643886" w:rsidRPr="00952BB1" w:rsidRDefault="00643886" w:rsidP="000C58A6">
            <w:pPr>
              <w:spacing w:before="0" w:after="0"/>
              <w:contextualSpacing/>
              <w:rPr>
                <w:rFonts w:eastAsia="Times New Roman" w:cs="Times New Roman"/>
                <w:color w:val="000000"/>
                <w:sz w:val="22"/>
                <w:lang w:val="nl-NL"/>
              </w:rPr>
            </w:pPr>
            <w:r w:rsidRPr="00952BB1">
              <w:rPr>
                <w:rFonts w:eastAsia="Times New Roman" w:cs="Times New Roman"/>
                <w:color w:val="000000"/>
                <w:sz w:val="22"/>
                <w:lang w:val="nl-NL"/>
              </w:rPr>
              <w:t>các tỉnh, thành phố trực thuộc Trung ương;</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lang w:val="nl-NL"/>
              </w:rPr>
              <w:t>- Sở Tài chính, Kho bạc Nhà nước</w:t>
            </w:r>
            <w:r w:rsidRPr="00952BB1">
              <w:rPr>
                <w:rFonts w:eastAsia="Times New Roman" w:cs="Times New Roman"/>
                <w:color w:val="000000"/>
                <w:sz w:val="22"/>
                <w:lang w:val="nl-NL"/>
              </w:rPr>
              <w:br/>
              <w:t>các tỉnh, thành phố trực thuộc Trung ương;</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Cục Kiểm tra văn bản QPPL (Bộ Tư pháp);</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Công báo;</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Cổng thông tin điện tử Chính phủ;</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Cổng thông tin điện tử Bộ Tài chính;</w:t>
            </w:r>
          </w:p>
          <w:p w:rsidR="00643886" w:rsidRPr="00952BB1" w:rsidRDefault="00643886" w:rsidP="000C58A6">
            <w:pPr>
              <w:spacing w:before="0" w:after="0"/>
              <w:contextualSpacing/>
              <w:rPr>
                <w:rFonts w:eastAsia="Times New Roman" w:cs="Times New Roman"/>
                <w:color w:val="000000"/>
                <w:sz w:val="22"/>
                <w:szCs w:val="22"/>
                <w:lang w:val="nl-NL"/>
              </w:rPr>
            </w:pPr>
            <w:r w:rsidRPr="00952BB1">
              <w:rPr>
                <w:rFonts w:eastAsia="Times New Roman" w:cs="Times New Roman"/>
                <w:color w:val="000000"/>
                <w:sz w:val="22"/>
                <w:szCs w:val="22"/>
                <w:lang w:val="nl-NL"/>
              </w:rPr>
              <w:t>- Các đơn vị thuộc, trực thuộc Bộ Tài chính;</w:t>
            </w:r>
          </w:p>
          <w:p w:rsidR="00643886" w:rsidRPr="00952BB1" w:rsidRDefault="00643886" w:rsidP="000C58A6">
            <w:pPr>
              <w:spacing w:before="0" w:after="0"/>
              <w:contextualSpacing/>
              <w:rPr>
                <w:rFonts w:eastAsia="Times New Roman" w:cs="Times New Roman"/>
                <w:i/>
                <w:color w:val="000000"/>
              </w:rPr>
            </w:pPr>
            <w:r w:rsidRPr="00952BB1">
              <w:rPr>
                <w:rFonts w:eastAsia="Times New Roman" w:cs="Times New Roman"/>
                <w:color w:val="000000"/>
                <w:sz w:val="22"/>
                <w:szCs w:val="22"/>
              </w:rPr>
              <w:t>- Lưu: VT, KBNN (3</w:t>
            </w:r>
            <w:r w:rsidR="00C87DD7" w:rsidRPr="00952BB1">
              <w:rPr>
                <w:rFonts w:eastAsia="Times New Roman" w:cs="Times New Roman"/>
                <w:color w:val="000000"/>
                <w:sz w:val="22"/>
                <w:szCs w:val="22"/>
              </w:rPr>
              <w:t>75</w:t>
            </w:r>
            <w:r w:rsidRPr="00952BB1">
              <w:rPr>
                <w:rFonts w:eastAsia="Times New Roman" w:cs="Times New Roman"/>
                <w:color w:val="000000"/>
                <w:sz w:val="22"/>
                <w:szCs w:val="22"/>
              </w:rPr>
              <w:t xml:space="preserve"> bản).</w:t>
            </w:r>
          </w:p>
        </w:tc>
        <w:tc>
          <w:tcPr>
            <w:tcW w:w="4536" w:type="dxa"/>
          </w:tcPr>
          <w:p w:rsidR="00643886" w:rsidRPr="00952BB1" w:rsidRDefault="00643886" w:rsidP="00530A1F">
            <w:pPr>
              <w:spacing w:after="0"/>
              <w:jc w:val="center"/>
              <w:rPr>
                <w:rFonts w:eastAsia="Times New Roman" w:cs="Times New Roman"/>
                <w:b/>
                <w:color w:val="000000"/>
                <w:sz w:val="26"/>
                <w:szCs w:val="26"/>
              </w:rPr>
            </w:pPr>
            <w:r w:rsidRPr="00952BB1">
              <w:rPr>
                <w:rFonts w:eastAsia="Times New Roman" w:cs="Times New Roman"/>
                <w:b/>
                <w:color w:val="000000"/>
                <w:sz w:val="26"/>
                <w:szCs w:val="26"/>
              </w:rPr>
              <w:t>KT. BỘ TRƯỞNG</w:t>
            </w:r>
          </w:p>
          <w:p w:rsidR="00643886" w:rsidRPr="00952BB1" w:rsidRDefault="00643886" w:rsidP="00643886">
            <w:pPr>
              <w:spacing w:before="0"/>
              <w:jc w:val="center"/>
              <w:rPr>
                <w:rFonts w:eastAsia="Times New Roman" w:cs="Times New Roman"/>
                <w:b/>
                <w:color w:val="000000"/>
                <w:sz w:val="26"/>
                <w:szCs w:val="26"/>
              </w:rPr>
            </w:pPr>
            <w:r w:rsidRPr="00952BB1">
              <w:rPr>
                <w:rFonts w:eastAsia="Times New Roman" w:cs="Times New Roman"/>
                <w:b/>
                <w:color w:val="000000"/>
                <w:sz w:val="26"/>
                <w:szCs w:val="26"/>
              </w:rPr>
              <w:t>THỨ TRƯỞNG</w:t>
            </w:r>
          </w:p>
          <w:p w:rsidR="00643886" w:rsidRPr="00952BB1" w:rsidRDefault="00643886" w:rsidP="00643886">
            <w:pPr>
              <w:jc w:val="center"/>
              <w:rPr>
                <w:rFonts w:eastAsia="Times New Roman" w:cs="Times New Roman"/>
                <w:b/>
                <w:color w:val="000000"/>
              </w:rPr>
            </w:pPr>
          </w:p>
          <w:p w:rsidR="00643886" w:rsidRPr="00952BB1" w:rsidRDefault="00643886" w:rsidP="00643886">
            <w:pPr>
              <w:jc w:val="center"/>
              <w:rPr>
                <w:rFonts w:eastAsia="Times New Roman" w:cs="Times New Roman"/>
                <w:b/>
                <w:color w:val="000000"/>
              </w:rPr>
            </w:pPr>
          </w:p>
          <w:p w:rsidR="00643886" w:rsidRPr="00952BB1" w:rsidRDefault="00643886" w:rsidP="00643886">
            <w:pPr>
              <w:jc w:val="center"/>
              <w:rPr>
                <w:rFonts w:eastAsia="Times New Roman" w:cs="Times New Roman"/>
                <w:b/>
                <w:color w:val="000000"/>
              </w:rPr>
            </w:pPr>
          </w:p>
          <w:p w:rsidR="00643886" w:rsidRPr="00952BB1" w:rsidRDefault="00643886" w:rsidP="00643886">
            <w:pPr>
              <w:jc w:val="center"/>
              <w:rPr>
                <w:rFonts w:eastAsia="Times New Roman" w:cs="Times New Roman"/>
                <w:b/>
                <w:color w:val="000000"/>
                <w:sz w:val="26"/>
                <w:szCs w:val="26"/>
              </w:rPr>
            </w:pPr>
          </w:p>
          <w:p w:rsidR="00643886" w:rsidRPr="00643886" w:rsidRDefault="0029426D" w:rsidP="00643886">
            <w:pPr>
              <w:jc w:val="center"/>
              <w:rPr>
                <w:rFonts w:eastAsia="Times New Roman" w:cs="Times New Roman"/>
                <w:b/>
                <w:color w:val="000000"/>
              </w:rPr>
            </w:pPr>
            <w:r w:rsidRPr="00952BB1">
              <w:rPr>
                <w:rFonts w:eastAsia="Times New Roman" w:cs="Times New Roman"/>
                <w:b/>
                <w:color w:val="000000"/>
              </w:rPr>
              <w:t>Đỗ Hoàng Anh Tuấn</w:t>
            </w:r>
          </w:p>
        </w:tc>
      </w:tr>
    </w:tbl>
    <w:p w:rsidR="0011642B" w:rsidRPr="009E0BFA" w:rsidRDefault="0011642B" w:rsidP="00E674FD">
      <w:pPr>
        <w:ind w:firstLine="720"/>
        <w:jc w:val="both"/>
        <w:rPr>
          <w:rFonts w:asciiTheme="majorHAnsi" w:hAnsiTheme="majorHAnsi"/>
        </w:rPr>
      </w:pPr>
    </w:p>
    <w:sectPr w:rsidR="0011642B" w:rsidRPr="009E0BFA" w:rsidSect="00A17805">
      <w:headerReference w:type="default" r:id="rId8"/>
      <w:pgSz w:w="11906" w:h="16838" w:code="9"/>
      <w:pgMar w:top="1134" w:right="127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DBE" w:rsidRDefault="007B6DBE" w:rsidP="00087EF3">
      <w:pPr>
        <w:spacing w:before="0" w:after="0"/>
      </w:pPr>
      <w:r>
        <w:separator/>
      </w:r>
    </w:p>
  </w:endnote>
  <w:endnote w:type="continuationSeparator" w:id="1">
    <w:p w:rsidR="007B6DBE" w:rsidRDefault="007B6DBE" w:rsidP="00087E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DBE" w:rsidRDefault="007B6DBE" w:rsidP="00087EF3">
      <w:pPr>
        <w:spacing w:before="0" w:after="0"/>
      </w:pPr>
      <w:r>
        <w:separator/>
      </w:r>
    </w:p>
  </w:footnote>
  <w:footnote w:type="continuationSeparator" w:id="1">
    <w:p w:rsidR="007B6DBE" w:rsidRDefault="007B6DBE" w:rsidP="00087EF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8488342"/>
      <w:docPartObj>
        <w:docPartGallery w:val="Page Numbers (Top of Page)"/>
        <w:docPartUnique/>
      </w:docPartObj>
    </w:sdtPr>
    <w:sdtEndPr>
      <w:rPr>
        <w:noProof/>
        <w:sz w:val="26"/>
        <w:szCs w:val="26"/>
      </w:rPr>
    </w:sdtEndPr>
    <w:sdtContent>
      <w:p w:rsidR="00087EF3" w:rsidRPr="00087EF3" w:rsidRDefault="00C74D57">
        <w:pPr>
          <w:pStyle w:val="Header"/>
          <w:jc w:val="center"/>
          <w:rPr>
            <w:sz w:val="26"/>
            <w:szCs w:val="26"/>
          </w:rPr>
        </w:pPr>
        <w:r w:rsidRPr="00087EF3">
          <w:rPr>
            <w:sz w:val="26"/>
            <w:szCs w:val="26"/>
          </w:rPr>
          <w:fldChar w:fldCharType="begin"/>
        </w:r>
        <w:r w:rsidR="00087EF3" w:rsidRPr="00087EF3">
          <w:rPr>
            <w:sz w:val="26"/>
            <w:szCs w:val="26"/>
          </w:rPr>
          <w:instrText xml:space="preserve"> PAGE   \* MERGEFORMAT </w:instrText>
        </w:r>
        <w:r w:rsidRPr="00087EF3">
          <w:rPr>
            <w:sz w:val="26"/>
            <w:szCs w:val="26"/>
          </w:rPr>
          <w:fldChar w:fldCharType="separate"/>
        </w:r>
        <w:r w:rsidR="003940F7">
          <w:rPr>
            <w:noProof/>
            <w:sz w:val="26"/>
            <w:szCs w:val="26"/>
          </w:rPr>
          <w:t>3</w:t>
        </w:r>
        <w:r w:rsidRPr="00087EF3">
          <w:rPr>
            <w:noProof/>
            <w:sz w:val="26"/>
            <w:szCs w:val="26"/>
          </w:rPr>
          <w:fldChar w:fldCharType="end"/>
        </w:r>
      </w:p>
    </w:sdtContent>
  </w:sdt>
  <w:p w:rsidR="00087EF3" w:rsidRDefault="00087E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B1E"/>
    <w:multiLevelType w:val="hybridMultilevel"/>
    <w:tmpl w:val="A6A0E16A"/>
    <w:lvl w:ilvl="0" w:tplc="0409000F">
      <w:start w:val="1"/>
      <w:numFmt w:val="decimal"/>
      <w:lvlText w:val="%1."/>
      <w:lvlJc w:val="left"/>
      <w:pPr>
        <w:tabs>
          <w:tab w:val="num" w:pos="1071"/>
        </w:tabs>
        <w:ind w:left="1071" w:hanging="360"/>
      </w:pPr>
      <w:rPr>
        <w:rFonts w:cs="Times New Roman" w:hint="default"/>
      </w:rPr>
    </w:lvl>
    <w:lvl w:ilvl="1" w:tplc="04090019">
      <w:start w:val="1"/>
      <w:numFmt w:val="lowerLetter"/>
      <w:lvlText w:val="%2."/>
      <w:lvlJc w:val="left"/>
      <w:pPr>
        <w:tabs>
          <w:tab w:val="num" w:pos="1791"/>
        </w:tabs>
        <w:ind w:left="1791" w:hanging="360"/>
      </w:pPr>
      <w:rPr>
        <w:rFonts w:cs="Times New Roman"/>
      </w:rPr>
    </w:lvl>
    <w:lvl w:ilvl="2" w:tplc="627EDE86">
      <w:start w:val="7"/>
      <w:numFmt w:val="lowerLetter"/>
      <w:lvlText w:val="%3)"/>
      <w:lvlJc w:val="left"/>
      <w:pPr>
        <w:tabs>
          <w:tab w:val="num" w:pos="2691"/>
        </w:tabs>
        <w:ind w:left="2691" w:hanging="360"/>
      </w:pPr>
      <w:rPr>
        <w:rFonts w:cs="Times New Roman" w:hint="default"/>
      </w:rPr>
    </w:lvl>
    <w:lvl w:ilvl="3" w:tplc="0409000F" w:tentative="1">
      <w:start w:val="1"/>
      <w:numFmt w:val="decimal"/>
      <w:lvlText w:val="%4."/>
      <w:lvlJc w:val="left"/>
      <w:pPr>
        <w:tabs>
          <w:tab w:val="num" w:pos="3231"/>
        </w:tabs>
        <w:ind w:left="3231" w:hanging="360"/>
      </w:pPr>
      <w:rPr>
        <w:rFonts w:cs="Times New Roman"/>
      </w:rPr>
    </w:lvl>
    <w:lvl w:ilvl="4" w:tplc="04090019" w:tentative="1">
      <w:start w:val="1"/>
      <w:numFmt w:val="lowerLetter"/>
      <w:lvlText w:val="%5."/>
      <w:lvlJc w:val="left"/>
      <w:pPr>
        <w:tabs>
          <w:tab w:val="num" w:pos="3951"/>
        </w:tabs>
        <w:ind w:left="3951" w:hanging="360"/>
      </w:pPr>
      <w:rPr>
        <w:rFonts w:cs="Times New Roman"/>
      </w:rPr>
    </w:lvl>
    <w:lvl w:ilvl="5" w:tplc="0409001B" w:tentative="1">
      <w:start w:val="1"/>
      <w:numFmt w:val="lowerRoman"/>
      <w:lvlText w:val="%6."/>
      <w:lvlJc w:val="right"/>
      <w:pPr>
        <w:tabs>
          <w:tab w:val="num" w:pos="4671"/>
        </w:tabs>
        <w:ind w:left="4671" w:hanging="180"/>
      </w:pPr>
      <w:rPr>
        <w:rFonts w:cs="Times New Roman"/>
      </w:rPr>
    </w:lvl>
    <w:lvl w:ilvl="6" w:tplc="0409000F" w:tentative="1">
      <w:start w:val="1"/>
      <w:numFmt w:val="decimal"/>
      <w:lvlText w:val="%7."/>
      <w:lvlJc w:val="left"/>
      <w:pPr>
        <w:tabs>
          <w:tab w:val="num" w:pos="5391"/>
        </w:tabs>
        <w:ind w:left="5391" w:hanging="360"/>
      </w:pPr>
      <w:rPr>
        <w:rFonts w:cs="Times New Roman"/>
      </w:rPr>
    </w:lvl>
    <w:lvl w:ilvl="7" w:tplc="04090019" w:tentative="1">
      <w:start w:val="1"/>
      <w:numFmt w:val="lowerLetter"/>
      <w:lvlText w:val="%8."/>
      <w:lvlJc w:val="left"/>
      <w:pPr>
        <w:tabs>
          <w:tab w:val="num" w:pos="6111"/>
        </w:tabs>
        <w:ind w:left="6111" w:hanging="360"/>
      </w:pPr>
      <w:rPr>
        <w:rFonts w:cs="Times New Roman"/>
      </w:rPr>
    </w:lvl>
    <w:lvl w:ilvl="8" w:tplc="0409001B" w:tentative="1">
      <w:start w:val="1"/>
      <w:numFmt w:val="lowerRoman"/>
      <w:lvlText w:val="%9."/>
      <w:lvlJc w:val="right"/>
      <w:pPr>
        <w:tabs>
          <w:tab w:val="num" w:pos="6831"/>
        </w:tabs>
        <w:ind w:left="6831" w:hanging="180"/>
      </w:pPr>
      <w:rPr>
        <w:rFonts w:cs="Times New Roman"/>
      </w:rPr>
    </w:lvl>
  </w:abstractNum>
  <w:abstractNum w:abstractNumId="1">
    <w:nsid w:val="01EC5DFD"/>
    <w:multiLevelType w:val="hybridMultilevel"/>
    <w:tmpl w:val="A9D86A40"/>
    <w:lvl w:ilvl="0" w:tplc="9E048018">
      <w:start w:val="1"/>
      <w:numFmt w:val="decimal"/>
      <w:lvlText w:val="%1."/>
      <w:lvlJc w:val="left"/>
      <w:pPr>
        <w:ind w:left="1066" w:hanging="360"/>
      </w:pPr>
      <w:rPr>
        <w:rFonts w:hint="default"/>
        <w:b w:val="0"/>
        <w:color w:val="000000" w:themeColor="text1"/>
      </w:rPr>
    </w:lvl>
    <w:lvl w:ilvl="1" w:tplc="042A0019" w:tentative="1">
      <w:start w:val="1"/>
      <w:numFmt w:val="lowerLetter"/>
      <w:lvlText w:val="%2."/>
      <w:lvlJc w:val="left"/>
      <w:pPr>
        <w:ind w:left="1786" w:hanging="360"/>
      </w:pPr>
    </w:lvl>
    <w:lvl w:ilvl="2" w:tplc="042A001B" w:tentative="1">
      <w:start w:val="1"/>
      <w:numFmt w:val="lowerRoman"/>
      <w:lvlText w:val="%3."/>
      <w:lvlJc w:val="right"/>
      <w:pPr>
        <w:ind w:left="2506" w:hanging="180"/>
      </w:pPr>
    </w:lvl>
    <w:lvl w:ilvl="3" w:tplc="042A000F" w:tentative="1">
      <w:start w:val="1"/>
      <w:numFmt w:val="decimal"/>
      <w:lvlText w:val="%4."/>
      <w:lvlJc w:val="left"/>
      <w:pPr>
        <w:ind w:left="3226" w:hanging="360"/>
      </w:pPr>
    </w:lvl>
    <w:lvl w:ilvl="4" w:tplc="042A0019" w:tentative="1">
      <w:start w:val="1"/>
      <w:numFmt w:val="lowerLetter"/>
      <w:lvlText w:val="%5."/>
      <w:lvlJc w:val="left"/>
      <w:pPr>
        <w:ind w:left="3946" w:hanging="360"/>
      </w:pPr>
    </w:lvl>
    <w:lvl w:ilvl="5" w:tplc="042A001B" w:tentative="1">
      <w:start w:val="1"/>
      <w:numFmt w:val="lowerRoman"/>
      <w:lvlText w:val="%6."/>
      <w:lvlJc w:val="right"/>
      <w:pPr>
        <w:ind w:left="4666" w:hanging="180"/>
      </w:pPr>
    </w:lvl>
    <w:lvl w:ilvl="6" w:tplc="042A000F" w:tentative="1">
      <w:start w:val="1"/>
      <w:numFmt w:val="decimal"/>
      <w:lvlText w:val="%7."/>
      <w:lvlJc w:val="left"/>
      <w:pPr>
        <w:ind w:left="5386" w:hanging="360"/>
      </w:pPr>
    </w:lvl>
    <w:lvl w:ilvl="7" w:tplc="042A0019" w:tentative="1">
      <w:start w:val="1"/>
      <w:numFmt w:val="lowerLetter"/>
      <w:lvlText w:val="%8."/>
      <w:lvlJc w:val="left"/>
      <w:pPr>
        <w:ind w:left="6106" w:hanging="360"/>
      </w:pPr>
    </w:lvl>
    <w:lvl w:ilvl="8" w:tplc="042A001B" w:tentative="1">
      <w:start w:val="1"/>
      <w:numFmt w:val="lowerRoman"/>
      <w:lvlText w:val="%9."/>
      <w:lvlJc w:val="right"/>
      <w:pPr>
        <w:ind w:left="6826" w:hanging="180"/>
      </w:pPr>
    </w:lvl>
  </w:abstractNum>
  <w:abstractNum w:abstractNumId="2">
    <w:nsid w:val="039927EE"/>
    <w:multiLevelType w:val="hybridMultilevel"/>
    <w:tmpl w:val="EB883F58"/>
    <w:lvl w:ilvl="0" w:tplc="4E28A91A">
      <w:start w:val="1"/>
      <w:numFmt w:val="decimal"/>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49F59A1"/>
    <w:multiLevelType w:val="hybridMultilevel"/>
    <w:tmpl w:val="4E602E58"/>
    <w:lvl w:ilvl="0" w:tplc="E716D7BE">
      <w:start w:val="1"/>
      <w:numFmt w:val="lowerLetter"/>
      <w:lvlText w:val="%1)"/>
      <w:lvlJc w:val="left"/>
      <w:pPr>
        <w:ind w:left="1080" w:hanging="360"/>
      </w:pPr>
      <w:rPr>
        <w:rFonts w:asciiTheme="majorHAnsi" w:hAnsiTheme="majorHAns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B1C292C"/>
    <w:multiLevelType w:val="hybridMultilevel"/>
    <w:tmpl w:val="ECE0EF9E"/>
    <w:lvl w:ilvl="0" w:tplc="D01AFB1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DE5B0C"/>
    <w:multiLevelType w:val="hybridMultilevel"/>
    <w:tmpl w:val="7CB234D6"/>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nsid w:val="79AA4884"/>
    <w:multiLevelType w:val="hybridMultilevel"/>
    <w:tmpl w:val="6F5EC1C6"/>
    <w:lvl w:ilvl="0" w:tplc="9E048018">
      <w:start w:val="1"/>
      <w:numFmt w:val="decimal"/>
      <w:lvlText w:val="%1."/>
      <w:lvlJc w:val="left"/>
      <w:pPr>
        <w:ind w:left="1786" w:hanging="360"/>
      </w:pPr>
      <w:rPr>
        <w:rFonts w:hint="default"/>
        <w:b w:val="0"/>
        <w:color w:val="000000" w:themeColor="text1"/>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30CAF"/>
    <w:rsid w:val="00000D82"/>
    <w:rsid w:val="00030CAF"/>
    <w:rsid w:val="00034213"/>
    <w:rsid w:val="0003554D"/>
    <w:rsid w:val="000417DE"/>
    <w:rsid w:val="0004319B"/>
    <w:rsid w:val="00043FBF"/>
    <w:rsid w:val="00061947"/>
    <w:rsid w:val="000734EF"/>
    <w:rsid w:val="0007505D"/>
    <w:rsid w:val="00080CB5"/>
    <w:rsid w:val="00082E96"/>
    <w:rsid w:val="00085223"/>
    <w:rsid w:val="00085D45"/>
    <w:rsid w:val="00087EF3"/>
    <w:rsid w:val="00095D00"/>
    <w:rsid w:val="000A1F89"/>
    <w:rsid w:val="000A2022"/>
    <w:rsid w:val="000A315B"/>
    <w:rsid w:val="000C4786"/>
    <w:rsid w:val="000C58A6"/>
    <w:rsid w:val="000D07E3"/>
    <w:rsid w:val="000D0A6C"/>
    <w:rsid w:val="000D1414"/>
    <w:rsid w:val="000E0697"/>
    <w:rsid w:val="000E78D4"/>
    <w:rsid w:val="000F26A4"/>
    <w:rsid w:val="00101B61"/>
    <w:rsid w:val="0010351E"/>
    <w:rsid w:val="0011642B"/>
    <w:rsid w:val="00120F25"/>
    <w:rsid w:val="001216FD"/>
    <w:rsid w:val="00123952"/>
    <w:rsid w:val="001278BF"/>
    <w:rsid w:val="0015101B"/>
    <w:rsid w:val="0015349F"/>
    <w:rsid w:val="00164FE8"/>
    <w:rsid w:val="00176692"/>
    <w:rsid w:val="00181646"/>
    <w:rsid w:val="00184B81"/>
    <w:rsid w:val="001850CE"/>
    <w:rsid w:val="001950AD"/>
    <w:rsid w:val="001B5E48"/>
    <w:rsid w:val="001D3671"/>
    <w:rsid w:val="001D7F5A"/>
    <w:rsid w:val="001E0899"/>
    <w:rsid w:val="001E42AF"/>
    <w:rsid w:val="001F7C4A"/>
    <w:rsid w:val="00214BC0"/>
    <w:rsid w:val="002204ED"/>
    <w:rsid w:val="00226ECD"/>
    <w:rsid w:val="00230896"/>
    <w:rsid w:val="00236F74"/>
    <w:rsid w:val="00240E8A"/>
    <w:rsid w:val="00241250"/>
    <w:rsid w:val="00247811"/>
    <w:rsid w:val="002501B1"/>
    <w:rsid w:val="002509FC"/>
    <w:rsid w:val="00251688"/>
    <w:rsid w:val="00256B97"/>
    <w:rsid w:val="0026306D"/>
    <w:rsid w:val="0026564C"/>
    <w:rsid w:val="00266EDA"/>
    <w:rsid w:val="002757F5"/>
    <w:rsid w:val="00284EC4"/>
    <w:rsid w:val="002908E0"/>
    <w:rsid w:val="0029426D"/>
    <w:rsid w:val="002A42C6"/>
    <w:rsid w:val="002A4B26"/>
    <w:rsid w:val="002B1812"/>
    <w:rsid w:val="002C6682"/>
    <w:rsid w:val="002D3F27"/>
    <w:rsid w:val="002D60D8"/>
    <w:rsid w:val="002E6336"/>
    <w:rsid w:val="002F5CD8"/>
    <w:rsid w:val="0030570A"/>
    <w:rsid w:val="00324EF6"/>
    <w:rsid w:val="003349D5"/>
    <w:rsid w:val="003409FD"/>
    <w:rsid w:val="00355EEC"/>
    <w:rsid w:val="00370CD9"/>
    <w:rsid w:val="00376241"/>
    <w:rsid w:val="0039161D"/>
    <w:rsid w:val="003940F7"/>
    <w:rsid w:val="003A129E"/>
    <w:rsid w:val="003B19F4"/>
    <w:rsid w:val="003B20B5"/>
    <w:rsid w:val="003B304E"/>
    <w:rsid w:val="003B5713"/>
    <w:rsid w:val="003B6119"/>
    <w:rsid w:val="003B77C7"/>
    <w:rsid w:val="003C12DE"/>
    <w:rsid w:val="003C5C48"/>
    <w:rsid w:val="003D69F8"/>
    <w:rsid w:val="003E3446"/>
    <w:rsid w:val="003F218C"/>
    <w:rsid w:val="003F2DD4"/>
    <w:rsid w:val="003F43F6"/>
    <w:rsid w:val="004020DE"/>
    <w:rsid w:val="0041284F"/>
    <w:rsid w:val="00415D22"/>
    <w:rsid w:val="00416B12"/>
    <w:rsid w:val="00420861"/>
    <w:rsid w:val="004220E0"/>
    <w:rsid w:val="004316B2"/>
    <w:rsid w:val="00433B08"/>
    <w:rsid w:val="00433BF4"/>
    <w:rsid w:val="00433E07"/>
    <w:rsid w:val="004511DD"/>
    <w:rsid w:val="00460508"/>
    <w:rsid w:val="00460A87"/>
    <w:rsid w:val="00473A9C"/>
    <w:rsid w:val="00477A76"/>
    <w:rsid w:val="00492BEF"/>
    <w:rsid w:val="00493C75"/>
    <w:rsid w:val="004B1DD2"/>
    <w:rsid w:val="004C083C"/>
    <w:rsid w:val="004C1C61"/>
    <w:rsid w:val="004E1773"/>
    <w:rsid w:val="004E72EB"/>
    <w:rsid w:val="004E7D03"/>
    <w:rsid w:val="004F1519"/>
    <w:rsid w:val="00516773"/>
    <w:rsid w:val="005200F4"/>
    <w:rsid w:val="00523567"/>
    <w:rsid w:val="00530A1F"/>
    <w:rsid w:val="00530C30"/>
    <w:rsid w:val="005310B9"/>
    <w:rsid w:val="00534845"/>
    <w:rsid w:val="00537509"/>
    <w:rsid w:val="0054193B"/>
    <w:rsid w:val="0055416C"/>
    <w:rsid w:val="005560B4"/>
    <w:rsid w:val="00566AE2"/>
    <w:rsid w:val="00570152"/>
    <w:rsid w:val="005927A5"/>
    <w:rsid w:val="0059711B"/>
    <w:rsid w:val="005A7342"/>
    <w:rsid w:val="005A7D13"/>
    <w:rsid w:val="005C1613"/>
    <w:rsid w:val="005C3D33"/>
    <w:rsid w:val="005D3CCE"/>
    <w:rsid w:val="005E1238"/>
    <w:rsid w:val="006007C3"/>
    <w:rsid w:val="00605395"/>
    <w:rsid w:val="006105D9"/>
    <w:rsid w:val="00625068"/>
    <w:rsid w:val="00627464"/>
    <w:rsid w:val="006328FF"/>
    <w:rsid w:val="00636CDB"/>
    <w:rsid w:val="00643886"/>
    <w:rsid w:val="00673BC2"/>
    <w:rsid w:val="006B1403"/>
    <w:rsid w:val="006B32EB"/>
    <w:rsid w:val="006C0B84"/>
    <w:rsid w:val="006D6089"/>
    <w:rsid w:val="006E4B81"/>
    <w:rsid w:val="006F1135"/>
    <w:rsid w:val="006F709C"/>
    <w:rsid w:val="00710B97"/>
    <w:rsid w:val="007112F3"/>
    <w:rsid w:val="007130FA"/>
    <w:rsid w:val="007205F9"/>
    <w:rsid w:val="00734B77"/>
    <w:rsid w:val="0073653F"/>
    <w:rsid w:val="007434A7"/>
    <w:rsid w:val="00743919"/>
    <w:rsid w:val="00764C99"/>
    <w:rsid w:val="00765C8A"/>
    <w:rsid w:val="00766C85"/>
    <w:rsid w:val="007723C4"/>
    <w:rsid w:val="00790004"/>
    <w:rsid w:val="00792A68"/>
    <w:rsid w:val="007A2643"/>
    <w:rsid w:val="007B2E30"/>
    <w:rsid w:val="007B6DBE"/>
    <w:rsid w:val="007C3581"/>
    <w:rsid w:val="007D35C7"/>
    <w:rsid w:val="007E0F4F"/>
    <w:rsid w:val="007E5766"/>
    <w:rsid w:val="007E6241"/>
    <w:rsid w:val="007E7AEE"/>
    <w:rsid w:val="007F0ED6"/>
    <w:rsid w:val="007F218D"/>
    <w:rsid w:val="00801ADC"/>
    <w:rsid w:val="00802503"/>
    <w:rsid w:val="008030EB"/>
    <w:rsid w:val="00813EA7"/>
    <w:rsid w:val="00831CE8"/>
    <w:rsid w:val="0083767D"/>
    <w:rsid w:val="00842B12"/>
    <w:rsid w:val="00851464"/>
    <w:rsid w:val="00857655"/>
    <w:rsid w:val="008578D3"/>
    <w:rsid w:val="00857927"/>
    <w:rsid w:val="0087128B"/>
    <w:rsid w:val="00872DE4"/>
    <w:rsid w:val="00883632"/>
    <w:rsid w:val="00891DD5"/>
    <w:rsid w:val="008A1DD4"/>
    <w:rsid w:val="008A4734"/>
    <w:rsid w:val="008B4B3D"/>
    <w:rsid w:val="008C7B53"/>
    <w:rsid w:val="008D6A06"/>
    <w:rsid w:val="008E6D1F"/>
    <w:rsid w:val="008F18EC"/>
    <w:rsid w:val="008F300E"/>
    <w:rsid w:val="0092469B"/>
    <w:rsid w:val="009256F1"/>
    <w:rsid w:val="009300A7"/>
    <w:rsid w:val="00934AAE"/>
    <w:rsid w:val="009367AC"/>
    <w:rsid w:val="00937728"/>
    <w:rsid w:val="00942FA1"/>
    <w:rsid w:val="009522E2"/>
    <w:rsid w:val="00952BB1"/>
    <w:rsid w:val="0095718B"/>
    <w:rsid w:val="009611CB"/>
    <w:rsid w:val="0097772D"/>
    <w:rsid w:val="00980DC1"/>
    <w:rsid w:val="009949B7"/>
    <w:rsid w:val="009A1450"/>
    <w:rsid w:val="009A197B"/>
    <w:rsid w:val="009A273D"/>
    <w:rsid w:val="009A2D10"/>
    <w:rsid w:val="009A56CF"/>
    <w:rsid w:val="009A7792"/>
    <w:rsid w:val="009A7D06"/>
    <w:rsid w:val="009B1632"/>
    <w:rsid w:val="009B71E4"/>
    <w:rsid w:val="009C126B"/>
    <w:rsid w:val="009C1BD4"/>
    <w:rsid w:val="009D4B29"/>
    <w:rsid w:val="009D5A2B"/>
    <w:rsid w:val="009D7C29"/>
    <w:rsid w:val="009E0BFA"/>
    <w:rsid w:val="00A05E90"/>
    <w:rsid w:val="00A07991"/>
    <w:rsid w:val="00A13077"/>
    <w:rsid w:val="00A14B91"/>
    <w:rsid w:val="00A15038"/>
    <w:rsid w:val="00A1597D"/>
    <w:rsid w:val="00A17805"/>
    <w:rsid w:val="00A232B4"/>
    <w:rsid w:val="00A70A14"/>
    <w:rsid w:val="00A806DB"/>
    <w:rsid w:val="00AA6C25"/>
    <w:rsid w:val="00AB5486"/>
    <w:rsid w:val="00AD165B"/>
    <w:rsid w:val="00AD6C70"/>
    <w:rsid w:val="00AE0B66"/>
    <w:rsid w:val="00AE0E02"/>
    <w:rsid w:val="00AF4A21"/>
    <w:rsid w:val="00B002D0"/>
    <w:rsid w:val="00B14B19"/>
    <w:rsid w:val="00B17106"/>
    <w:rsid w:val="00B1785E"/>
    <w:rsid w:val="00B21463"/>
    <w:rsid w:val="00B31666"/>
    <w:rsid w:val="00B33A57"/>
    <w:rsid w:val="00B52AC4"/>
    <w:rsid w:val="00B540A0"/>
    <w:rsid w:val="00B60A1C"/>
    <w:rsid w:val="00B6469D"/>
    <w:rsid w:val="00B72B3A"/>
    <w:rsid w:val="00B73F08"/>
    <w:rsid w:val="00B74171"/>
    <w:rsid w:val="00B91913"/>
    <w:rsid w:val="00B93F20"/>
    <w:rsid w:val="00B9488C"/>
    <w:rsid w:val="00BA2FA0"/>
    <w:rsid w:val="00BA4CAC"/>
    <w:rsid w:val="00BA76E4"/>
    <w:rsid w:val="00BB54C7"/>
    <w:rsid w:val="00BC0AD6"/>
    <w:rsid w:val="00BD0752"/>
    <w:rsid w:val="00BD529B"/>
    <w:rsid w:val="00BF46DF"/>
    <w:rsid w:val="00BF55CE"/>
    <w:rsid w:val="00C03664"/>
    <w:rsid w:val="00C12182"/>
    <w:rsid w:val="00C154E8"/>
    <w:rsid w:val="00C17D3D"/>
    <w:rsid w:val="00C23D82"/>
    <w:rsid w:val="00C2400D"/>
    <w:rsid w:val="00C32521"/>
    <w:rsid w:val="00C35FA8"/>
    <w:rsid w:val="00C379A9"/>
    <w:rsid w:val="00C44D59"/>
    <w:rsid w:val="00C506D2"/>
    <w:rsid w:val="00C52BCE"/>
    <w:rsid w:val="00C55134"/>
    <w:rsid w:val="00C5587C"/>
    <w:rsid w:val="00C62C47"/>
    <w:rsid w:val="00C641CF"/>
    <w:rsid w:val="00C74D57"/>
    <w:rsid w:val="00C767A7"/>
    <w:rsid w:val="00C76A19"/>
    <w:rsid w:val="00C76BCC"/>
    <w:rsid w:val="00C87DD7"/>
    <w:rsid w:val="00C96BF0"/>
    <w:rsid w:val="00CA4F6B"/>
    <w:rsid w:val="00CA676F"/>
    <w:rsid w:val="00CB3200"/>
    <w:rsid w:val="00CB4A0F"/>
    <w:rsid w:val="00CB57C6"/>
    <w:rsid w:val="00CB6EE4"/>
    <w:rsid w:val="00CC287A"/>
    <w:rsid w:val="00CC4747"/>
    <w:rsid w:val="00CC5CC2"/>
    <w:rsid w:val="00CD0A52"/>
    <w:rsid w:val="00CE0A5C"/>
    <w:rsid w:val="00CE12C6"/>
    <w:rsid w:val="00CE2A98"/>
    <w:rsid w:val="00CF07D6"/>
    <w:rsid w:val="00CF3009"/>
    <w:rsid w:val="00CF7EC9"/>
    <w:rsid w:val="00D049D9"/>
    <w:rsid w:val="00D078CD"/>
    <w:rsid w:val="00D10755"/>
    <w:rsid w:val="00D11AA6"/>
    <w:rsid w:val="00D1738D"/>
    <w:rsid w:val="00D275E8"/>
    <w:rsid w:val="00D37E9B"/>
    <w:rsid w:val="00D43C11"/>
    <w:rsid w:val="00D50224"/>
    <w:rsid w:val="00D550BF"/>
    <w:rsid w:val="00D618CD"/>
    <w:rsid w:val="00D63114"/>
    <w:rsid w:val="00D74BE3"/>
    <w:rsid w:val="00D77AF7"/>
    <w:rsid w:val="00D77D1B"/>
    <w:rsid w:val="00D84E8C"/>
    <w:rsid w:val="00D919E1"/>
    <w:rsid w:val="00D94E25"/>
    <w:rsid w:val="00DB584C"/>
    <w:rsid w:val="00DC2E13"/>
    <w:rsid w:val="00DC6955"/>
    <w:rsid w:val="00DC6C02"/>
    <w:rsid w:val="00DE2350"/>
    <w:rsid w:val="00DE4830"/>
    <w:rsid w:val="00DF7502"/>
    <w:rsid w:val="00E1263C"/>
    <w:rsid w:val="00E13D7E"/>
    <w:rsid w:val="00E15011"/>
    <w:rsid w:val="00E16786"/>
    <w:rsid w:val="00E2251A"/>
    <w:rsid w:val="00E237C5"/>
    <w:rsid w:val="00E24980"/>
    <w:rsid w:val="00E251AC"/>
    <w:rsid w:val="00E31BD5"/>
    <w:rsid w:val="00E401A9"/>
    <w:rsid w:val="00E5388B"/>
    <w:rsid w:val="00E579A0"/>
    <w:rsid w:val="00E66A63"/>
    <w:rsid w:val="00E674FD"/>
    <w:rsid w:val="00E74447"/>
    <w:rsid w:val="00E92998"/>
    <w:rsid w:val="00EA17AE"/>
    <w:rsid w:val="00EB15D8"/>
    <w:rsid w:val="00EB4981"/>
    <w:rsid w:val="00EB6560"/>
    <w:rsid w:val="00EC3037"/>
    <w:rsid w:val="00EC4DD3"/>
    <w:rsid w:val="00ED1C2C"/>
    <w:rsid w:val="00EE3270"/>
    <w:rsid w:val="00EE5AEB"/>
    <w:rsid w:val="00EE6579"/>
    <w:rsid w:val="00EF44F1"/>
    <w:rsid w:val="00EF4DF2"/>
    <w:rsid w:val="00EF5B74"/>
    <w:rsid w:val="00F017C6"/>
    <w:rsid w:val="00F07ECD"/>
    <w:rsid w:val="00F108BF"/>
    <w:rsid w:val="00F208E4"/>
    <w:rsid w:val="00F22FFB"/>
    <w:rsid w:val="00F23F7B"/>
    <w:rsid w:val="00F27942"/>
    <w:rsid w:val="00F410D6"/>
    <w:rsid w:val="00F41A83"/>
    <w:rsid w:val="00F47093"/>
    <w:rsid w:val="00F54B7B"/>
    <w:rsid w:val="00F558AE"/>
    <w:rsid w:val="00F60B1F"/>
    <w:rsid w:val="00F64317"/>
    <w:rsid w:val="00F71B62"/>
    <w:rsid w:val="00F76AF7"/>
    <w:rsid w:val="00F808DE"/>
    <w:rsid w:val="00F82D23"/>
    <w:rsid w:val="00F838CF"/>
    <w:rsid w:val="00F84F88"/>
    <w:rsid w:val="00F855B9"/>
    <w:rsid w:val="00F864F3"/>
    <w:rsid w:val="00F93F48"/>
    <w:rsid w:val="00F95E88"/>
    <w:rsid w:val="00FA74F6"/>
    <w:rsid w:val="00FA7E83"/>
    <w:rsid w:val="00FB4528"/>
    <w:rsid w:val="00FC0A01"/>
    <w:rsid w:val="00FC0E82"/>
    <w:rsid w:val="00FD31EE"/>
    <w:rsid w:val="00FD73A4"/>
    <w:rsid w:val="00FF2149"/>
    <w:rsid w:val="00FF6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57"/>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rsid w:val="0011642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97772D"/>
    <w:pPr>
      <w:spacing w:before="0" w:after="0"/>
      <w:jc w:val="both"/>
    </w:pPr>
    <w:rPr>
      <w:rFonts w:ascii=".VnTime" w:eastAsia="Times New Roman" w:hAnsi=".VnTime" w:cs="Times New Roman"/>
      <w:sz w:val="26"/>
      <w:szCs w:val="20"/>
    </w:rPr>
  </w:style>
  <w:style w:type="character" w:customStyle="1" w:styleId="BodyTextIndentChar">
    <w:name w:val="Body Text Indent Char"/>
    <w:basedOn w:val="DefaultParagraphFont"/>
    <w:uiPriority w:val="99"/>
    <w:semiHidden/>
    <w:rsid w:val="0097772D"/>
    <w:rPr>
      <w:lang w:val="en-US"/>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97772D"/>
    <w:rPr>
      <w:rFonts w:ascii=".VnTime" w:eastAsia="Times New Roman" w:hAnsi=".VnTime"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7">
    <w:name w:val="heading 7"/>
    <w:basedOn w:val="Normal"/>
    <w:next w:val="Normal"/>
    <w:link w:val="Heading7Char1"/>
    <w:uiPriority w:val="99"/>
    <w:qFormat/>
    <w:rsid w:val="004C083C"/>
    <w:pPr>
      <w:keepNext/>
      <w:spacing w:before="0" w:after="0"/>
      <w:jc w:val="center"/>
      <w:outlineLvl w:val="6"/>
    </w:pPr>
    <w:rPr>
      <w:rFonts w:ascii=".VnTime" w:eastAsia="Calibri" w:hAnsi=".VnTim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BFA"/>
  </w:style>
  <w:style w:type="paragraph" w:customStyle="1" w:styleId="sign">
    <w:name w:val="sign"/>
    <w:basedOn w:val="Normal"/>
    <w:rsid w:val="0011642B"/>
    <w:pPr>
      <w:tabs>
        <w:tab w:val="left" w:pos="284"/>
        <w:tab w:val="center" w:pos="6521"/>
      </w:tabs>
      <w:spacing w:before="0" w:after="0" w:line="320" w:lineRule="atLeast"/>
    </w:pPr>
    <w:rPr>
      <w:rFonts w:ascii=".VnTimeH" w:eastAsia="Times New Roman" w:hAnsi=".VnTimeH" w:cs="Times New Roman"/>
      <w:b/>
      <w:sz w:val="26"/>
      <w:szCs w:val="20"/>
    </w:rPr>
  </w:style>
  <w:style w:type="table" w:styleId="TableGrid">
    <w:name w:val="Table Grid"/>
    <w:basedOn w:val="TableNormal"/>
    <w:rsid w:val="001164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1238"/>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8522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223"/>
    <w:rPr>
      <w:rFonts w:ascii="Tahoma" w:hAnsi="Tahoma" w:cs="Tahoma"/>
      <w:sz w:val="16"/>
      <w:szCs w:val="16"/>
      <w:lang w:val="en-US"/>
    </w:rPr>
  </w:style>
  <w:style w:type="paragraph" w:styleId="Header">
    <w:name w:val="header"/>
    <w:basedOn w:val="Normal"/>
    <w:link w:val="HeaderChar"/>
    <w:uiPriority w:val="99"/>
    <w:unhideWhenUsed/>
    <w:rsid w:val="00087EF3"/>
    <w:pPr>
      <w:tabs>
        <w:tab w:val="center" w:pos="4513"/>
        <w:tab w:val="right" w:pos="9026"/>
      </w:tabs>
      <w:spacing w:before="0" w:after="0"/>
    </w:pPr>
  </w:style>
  <w:style w:type="character" w:customStyle="1" w:styleId="HeaderChar">
    <w:name w:val="Header Char"/>
    <w:basedOn w:val="DefaultParagraphFont"/>
    <w:link w:val="Header"/>
    <w:uiPriority w:val="99"/>
    <w:rsid w:val="00087EF3"/>
    <w:rPr>
      <w:lang w:val="en-US"/>
    </w:rPr>
  </w:style>
  <w:style w:type="paragraph" w:styleId="Footer">
    <w:name w:val="footer"/>
    <w:basedOn w:val="Normal"/>
    <w:link w:val="FooterChar"/>
    <w:uiPriority w:val="99"/>
    <w:unhideWhenUsed/>
    <w:rsid w:val="00087EF3"/>
    <w:pPr>
      <w:tabs>
        <w:tab w:val="center" w:pos="4513"/>
        <w:tab w:val="right" w:pos="9026"/>
      </w:tabs>
      <w:spacing w:before="0" w:after="0"/>
    </w:pPr>
  </w:style>
  <w:style w:type="character" w:customStyle="1" w:styleId="FooterChar">
    <w:name w:val="Footer Char"/>
    <w:basedOn w:val="DefaultParagraphFont"/>
    <w:link w:val="Footer"/>
    <w:uiPriority w:val="99"/>
    <w:rsid w:val="00087EF3"/>
    <w:rPr>
      <w:lang w:val="en-US"/>
    </w:rPr>
  </w:style>
  <w:style w:type="paragraph" w:styleId="ListParagraph">
    <w:name w:val="List Paragraph"/>
    <w:basedOn w:val="Normal"/>
    <w:uiPriority w:val="34"/>
    <w:qFormat/>
    <w:rsid w:val="004C083C"/>
    <w:pPr>
      <w:ind w:left="720"/>
      <w:contextualSpacing/>
    </w:pPr>
  </w:style>
  <w:style w:type="character" w:customStyle="1" w:styleId="Heading7Char">
    <w:name w:val="Heading 7 Char"/>
    <w:basedOn w:val="DefaultParagraphFont"/>
    <w:uiPriority w:val="9"/>
    <w:semiHidden/>
    <w:rsid w:val="004C083C"/>
    <w:rPr>
      <w:rFonts w:asciiTheme="majorHAnsi" w:eastAsiaTheme="majorEastAsia" w:hAnsiTheme="majorHAnsi" w:cstheme="majorBidi"/>
      <w:i/>
      <w:iCs/>
      <w:color w:val="404040" w:themeColor="text1" w:themeTint="BF"/>
      <w:lang w:val="en-US"/>
    </w:rPr>
  </w:style>
  <w:style w:type="character" w:customStyle="1" w:styleId="Heading7Char1">
    <w:name w:val="Heading 7 Char1"/>
    <w:link w:val="Heading7"/>
    <w:uiPriority w:val="99"/>
    <w:locked/>
    <w:rsid w:val="004C083C"/>
    <w:rPr>
      <w:rFonts w:ascii=".VnTime" w:eastAsia="Calibri" w:hAnsi=".VnTime" w:cs="Times New Roman"/>
      <w:i/>
      <w:szCs w:val="20"/>
      <w:lang w:val="en-US"/>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rsid w:val="0097772D"/>
    <w:pPr>
      <w:spacing w:before="0" w:after="0"/>
      <w:jc w:val="both"/>
    </w:pPr>
    <w:rPr>
      <w:rFonts w:ascii=".VnTime" w:eastAsia="Times New Roman" w:hAnsi=".VnTime" w:cs="Times New Roman"/>
      <w:sz w:val="26"/>
      <w:szCs w:val="20"/>
    </w:rPr>
  </w:style>
  <w:style w:type="character" w:customStyle="1" w:styleId="BodyTextIndentChar">
    <w:name w:val="Body Text Indent Char"/>
    <w:basedOn w:val="DefaultParagraphFont"/>
    <w:uiPriority w:val="99"/>
    <w:semiHidden/>
    <w:rsid w:val="0097772D"/>
    <w:rPr>
      <w:lang w:val="en-US"/>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97772D"/>
    <w:rPr>
      <w:rFonts w:ascii=".VnTime" w:eastAsia="Times New Roman" w:hAnsi=".VnTime" w:cs="Times New Roman"/>
      <w:sz w:val="26"/>
      <w:szCs w:val="20"/>
      <w:lang w:val="en-US"/>
    </w:rPr>
  </w:style>
</w:styles>
</file>

<file path=word/webSettings.xml><?xml version="1.0" encoding="utf-8"?>
<w:webSettings xmlns:r="http://schemas.openxmlformats.org/officeDocument/2006/relationships" xmlns:w="http://schemas.openxmlformats.org/wordprocessingml/2006/main">
  <w:divs>
    <w:div w:id="15205392">
      <w:bodyDiv w:val="1"/>
      <w:marLeft w:val="0"/>
      <w:marRight w:val="0"/>
      <w:marTop w:val="0"/>
      <w:marBottom w:val="0"/>
      <w:divBdr>
        <w:top w:val="none" w:sz="0" w:space="0" w:color="auto"/>
        <w:left w:val="none" w:sz="0" w:space="0" w:color="auto"/>
        <w:bottom w:val="none" w:sz="0" w:space="0" w:color="auto"/>
        <w:right w:val="none" w:sz="0" w:space="0" w:color="auto"/>
      </w:divBdr>
    </w:div>
    <w:div w:id="472215018">
      <w:bodyDiv w:val="1"/>
      <w:marLeft w:val="0"/>
      <w:marRight w:val="0"/>
      <w:marTop w:val="0"/>
      <w:marBottom w:val="0"/>
      <w:divBdr>
        <w:top w:val="none" w:sz="0" w:space="0" w:color="auto"/>
        <w:left w:val="none" w:sz="0" w:space="0" w:color="auto"/>
        <w:bottom w:val="none" w:sz="0" w:space="0" w:color="auto"/>
        <w:right w:val="none" w:sz="0" w:space="0" w:color="auto"/>
      </w:divBdr>
    </w:div>
    <w:div w:id="1092356588">
      <w:bodyDiv w:val="1"/>
      <w:marLeft w:val="0"/>
      <w:marRight w:val="0"/>
      <w:marTop w:val="0"/>
      <w:marBottom w:val="0"/>
      <w:divBdr>
        <w:top w:val="none" w:sz="0" w:space="0" w:color="auto"/>
        <w:left w:val="none" w:sz="0" w:space="0" w:color="auto"/>
        <w:bottom w:val="none" w:sz="0" w:space="0" w:color="auto"/>
        <w:right w:val="none" w:sz="0" w:space="0" w:color="auto"/>
      </w:divBdr>
    </w:div>
    <w:div w:id="17738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686D-006C-4557-A2AF-3B6BEE11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Hang03 Le Thanh</dc:creator>
  <cp:lastModifiedBy>Phung Huyen</cp:lastModifiedBy>
  <cp:revision>2</cp:revision>
  <cp:lastPrinted>2019-02-19T02:45:00Z</cp:lastPrinted>
  <dcterms:created xsi:type="dcterms:W3CDTF">2019-03-25T02:14:00Z</dcterms:created>
  <dcterms:modified xsi:type="dcterms:W3CDTF">2019-03-25T02:14:00Z</dcterms:modified>
</cp:coreProperties>
</file>